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2"/>
        <w:widowControl/>
        <w:snapToGrid w:val="0"/>
        <w:spacing w:before="340" w:after="330" w:line="576" w:lineRule="auto"/>
        <w:jc w:val="left"/>
        <w:rPr>
          <w:rFonts w:ascii="Tahoma" w:hAnsi="Tahoma" w:eastAsia="微软雅黑"/>
          <w:szCs w:val="22"/>
        </w:rPr>
      </w:pPr>
    </w:p>
    <w:p>
      <w:pPr>
        <w:tabs>
          <w:tab w:val="left" w:pos="315"/>
          <w:tab w:val="left" w:pos="8820"/>
        </w:tabs>
        <w:ind w:right="305" w:rightChars="127"/>
        <w:jc w:val="center"/>
        <w:rPr>
          <w:rFonts w:eastAsia="方正小标宋简体"/>
          <w:b/>
          <w:bCs/>
          <w:kern w:val="2"/>
          <w:sz w:val="112"/>
          <w:szCs w:val="112"/>
        </w:rPr>
      </w:pPr>
      <w:r>
        <w:rPr>
          <w:rFonts w:eastAsia="方正小标宋简体"/>
          <w:b/>
          <w:bCs/>
          <w:kern w:val="2"/>
          <w:sz w:val="112"/>
          <w:szCs w:val="112"/>
        </w:rPr>
        <w:t>招 标 文 件</w:t>
      </w:r>
    </w:p>
    <w:p>
      <w:pPr>
        <w:spacing w:line="560" w:lineRule="exact"/>
        <w:ind w:firstLine="360" w:firstLineChars="100"/>
        <w:rPr>
          <w:rFonts w:eastAsia="仿宋_GB2312"/>
          <w:sz w:val="36"/>
        </w:rPr>
      </w:pPr>
    </w:p>
    <w:p>
      <w:pPr>
        <w:spacing w:line="560" w:lineRule="exact"/>
        <w:ind w:firstLine="360" w:firstLineChars="100"/>
        <w:rPr>
          <w:rFonts w:eastAsia="仿宋_GB2312"/>
          <w:sz w:val="36"/>
        </w:rPr>
      </w:pPr>
    </w:p>
    <w:p>
      <w:pPr>
        <w:tabs>
          <w:tab w:val="left" w:pos="315"/>
          <w:tab w:val="left" w:pos="8820"/>
        </w:tabs>
        <w:ind w:right="305" w:rightChars="127"/>
        <w:rPr>
          <w:rFonts w:eastAsia="仿宋_GB2312"/>
          <w:sz w:val="36"/>
        </w:rPr>
      </w:pPr>
    </w:p>
    <w:p>
      <w:pPr>
        <w:spacing w:line="560" w:lineRule="exact"/>
        <w:ind w:firstLine="321" w:firstLineChars="100"/>
        <w:rPr>
          <w:rFonts w:eastAsia="仿宋_GB2312"/>
          <w:b/>
          <w:bCs/>
          <w:sz w:val="32"/>
        </w:rPr>
      </w:pPr>
    </w:p>
    <w:p>
      <w:pPr>
        <w:tabs>
          <w:tab w:val="left" w:pos="315"/>
          <w:tab w:val="left" w:pos="8820"/>
        </w:tabs>
        <w:spacing w:line="540" w:lineRule="exact"/>
        <w:ind w:right="305" w:rightChars="127" w:firstLine="964" w:firstLineChars="300"/>
        <w:rPr>
          <w:rFonts w:eastAsia="仿宋_GB2312"/>
          <w:b/>
          <w:bCs/>
          <w:sz w:val="32"/>
        </w:rPr>
      </w:pPr>
    </w:p>
    <w:p>
      <w:pPr>
        <w:spacing w:line="560" w:lineRule="exact"/>
        <w:rPr>
          <w:rFonts w:eastAsia="仿宋_GB2312"/>
          <w:b/>
          <w:bCs/>
          <w:sz w:val="32"/>
        </w:rPr>
      </w:pPr>
    </w:p>
    <w:p>
      <w:pPr>
        <w:pStyle w:val="21"/>
        <w:ind w:left="480" w:firstLine="643"/>
        <w:rPr>
          <w:rFonts w:eastAsia="仿宋_GB2312"/>
          <w:b/>
          <w:bCs/>
          <w:sz w:val="32"/>
        </w:rPr>
      </w:pPr>
    </w:p>
    <w:p>
      <w:pPr>
        <w:pStyle w:val="21"/>
        <w:ind w:left="480" w:firstLine="643"/>
        <w:rPr>
          <w:rFonts w:eastAsia="仿宋_GB2312"/>
          <w:b/>
          <w:bCs/>
          <w:sz w:val="32"/>
        </w:rPr>
      </w:pPr>
    </w:p>
    <w:p>
      <w:pPr>
        <w:spacing w:line="560" w:lineRule="exact"/>
        <w:rPr>
          <w:rFonts w:eastAsia="仿宋_GB2312"/>
          <w:b/>
          <w:bCs/>
          <w:sz w:val="32"/>
        </w:rPr>
      </w:pPr>
    </w:p>
    <w:p>
      <w:pPr>
        <w:pStyle w:val="2"/>
        <w:ind w:firstLine="643"/>
        <w:rPr>
          <w:rFonts w:eastAsia="仿宋_GB2312"/>
          <w:b/>
          <w:bCs/>
          <w:sz w:val="32"/>
        </w:rPr>
      </w:pPr>
    </w:p>
    <w:p>
      <w:pPr>
        <w:rPr>
          <w:rFonts w:eastAsia="仿宋_GB2312"/>
          <w:b/>
          <w:bCs/>
          <w:sz w:val="32"/>
        </w:rPr>
      </w:pPr>
    </w:p>
    <w:p>
      <w:pPr>
        <w:pStyle w:val="2"/>
        <w:ind w:firstLine="643"/>
        <w:rPr>
          <w:rFonts w:eastAsia="仿宋_GB2312"/>
          <w:b/>
          <w:bCs/>
          <w:sz w:val="32"/>
        </w:rPr>
      </w:pPr>
    </w:p>
    <w:p>
      <w:pPr>
        <w:rPr>
          <w:rFonts w:eastAsia="仿宋_GB2312"/>
          <w:b/>
          <w:bCs/>
          <w:sz w:val="32"/>
        </w:rPr>
      </w:pPr>
    </w:p>
    <w:p>
      <w:pPr>
        <w:pStyle w:val="2"/>
        <w:ind w:firstLine="643"/>
        <w:rPr>
          <w:rFonts w:eastAsia="仿宋_GB2312"/>
          <w:b/>
          <w:bCs/>
          <w:sz w:val="32"/>
        </w:rPr>
      </w:pPr>
    </w:p>
    <w:p/>
    <w:p>
      <w:pPr>
        <w:spacing w:line="560" w:lineRule="exact"/>
        <w:ind w:left="300" w:leftChars="125"/>
        <w:rPr>
          <w:rFonts w:eastAsia="仿宋_GB2312"/>
          <w:b/>
          <w:bCs/>
          <w:kern w:val="2"/>
          <w:sz w:val="30"/>
          <w:szCs w:val="30"/>
        </w:rPr>
      </w:pPr>
      <w:r>
        <w:rPr>
          <w:rFonts w:hint="eastAsia" w:eastAsia="仿宋_GB2312"/>
          <w:b/>
          <w:bCs/>
          <w:kern w:val="2"/>
          <w:sz w:val="30"/>
          <w:szCs w:val="30"/>
        </w:rPr>
        <w:t>项目名称:</w:t>
      </w:r>
      <w:r>
        <w:rPr>
          <w:rFonts w:hint="eastAsia" w:ascii="宋体" w:hAnsi="宋体" w:eastAsia="宋体" w:cs="宋体"/>
          <w:b/>
          <w:bCs/>
          <w:kern w:val="2"/>
          <w:sz w:val="28"/>
          <w:szCs w:val="28"/>
        </w:rPr>
        <w:t>合肥诚达交通工程技术服务有限公司院内背景文化墙  制作及各试验室内外部整修招标采购（二次招标）</w:t>
      </w:r>
    </w:p>
    <w:p>
      <w:pPr>
        <w:spacing w:line="560" w:lineRule="exact"/>
        <w:ind w:firstLine="301" w:firstLineChars="100"/>
        <w:rPr>
          <w:rFonts w:eastAsia="仿宋_GB2312"/>
          <w:b/>
          <w:bCs/>
          <w:kern w:val="2"/>
          <w:sz w:val="30"/>
          <w:szCs w:val="30"/>
        </w:rPr>
      </w:pPr>
      <w:r>
        <w:rPr>
          <w:rFonts w:hint="eastAsia" w:eastAsia="仿宋_GB2312"/>
          <w:b/>
          <w:bCs/>
          <w:kern w:val="2"/>
          <w:sz w:val="30"/>
          <w:szCs w:val="30"/>
        </w:rPr>
        <w:t>招标编号:</w:t>
      </w:r>
      <w:r>
        <w:t xml:space="preserve"> </w:t>
      </w:r>
      <w:r>
        <w:rPr>
          <w:rFonts w:hint="eastAsia" w:eastAsia="仿宋_GB2312"/>
          <w:b/>
          <w:bCs/>
          <w:color w:val="auto"/>
          <w:kern w:val="2"/>
          <w:sz w:val="30"/>
          <w:szCs w:val="30"/>
        </w:rPr>
        <w:t>CHLQ-2024-016</w:t>
      </w:r>
    </w:p>
    <w:p>
      <w:pPr>
        <w:spacing w:line="560" w:lineRule="exact"/>
        <w:ind w:firstLine="301" w:firstLineChars="100"/>
        <w:rPr>
          <w:rFonts w:eastAsia="仿宋_GB2312"/>
          <w:b/>
          <w:bCs/>
          <w:kern w:val="2"/>
          <w:sz w:val="30"/>
          <w:szCs w:val="30"/>
        </w:rPr>
      </w:pPr>
      <w:r>
        <w:rPr>
          <w:rFonts w:hint="eastAsia" w:eastAsia="仿宋_GB2312"/>
          <w:b/>
          <w:bCs/>
          <w:kern w:val="2"/>
          <w:sz w:val="30"/>
          <w:szCs w:val="30"/>
        </w:rPr>
        <w:t>项目单位：</w:t>
      </w:r>
      <w:r>
        <w:rPr>
          <w:rFonts w:hint="eastAsia" w:ascii="宋体" w:hAnsi="宋体" w:eastAsia="宋体" w:cs="宋体"/>
          <w:b/>
          <w:bCs/>
          <w:kern w:val="2"/>
          <w:sz w:val="28"/>
          <w:szCs w:val="28"/>
        </w:rPr>
        <w:t>合肥诚达交通工程技术服务有限公司</w:t>
      </w:r>
    </w:p>
    <w:p>
      <w:pPr>
        <w:spacing w:line="560" w:lineRule="exact"/>
        <w:ind w:firstLine="301" w:firstLineChars="100"/>
        <w:rPr>
          <w:rFonts w:eastAsia="仿宋_GB2312"/>
          <w:b/>
          <w:bCs/>
          <w:kern w:val="2"/>
          <w:sz w:val="30"/>
          <w:szCs w:val="30"/>
        </w:rPr>
      </w:pPr>
      <w:r>
        <w:rPr>
          <w:rFonts w:hint="eastAsia" w:eastAsia="仿宋_GB2312"/>
          <w:b/>
          <w:bCs/>
          <w:kern w:val="2"/>
          <w:sz w:val="30"/>
          <w:szCs w:val="30"/>
        </w:rPr>
        <w:t>编制时间：</w:t>
      </w:r>
      <w:r>
        <w:rPr>
          <w:rFonts w:eastAsia="仿宋_GB2312"/>
          <w:b/>
          <w:bCs/>
          <w:kern w:val="2"/>
          <w:sz w:val="30"/>
          <w:szCs w:val="30"/>
        </w:rPr>
        <w:t>202</w:t>
      </w:r>
      <w:r>
        <w:rPr>
          <w:rFonts w:hint="eastAsia" w:eastAsia="仿宋_GB2312"/>
          <w:b/>
          <w:bCs/>
          <w:kern w:val="2"/>
          <w:sz w:val="30"/>
          <w:szCs w:val="30"/>
        </w:rPr>
        <w:t>4</w:t>
      </w:r>
      <w:r>
        <w:rPr>
          <w:rFonts w:eastAsia="仿宋_GB2312"/>
          <w:b/>
          <w:bCs/>
          <w:kern w:val="2"/>
          <w:sz w:val="30"/>
          <w:szCs w:val="30"/>
        </w:rPr>
        <w:t>年</w:t>
      </w:r>
      <w:r>
        <w:rPr>
          <w:rFonts w:hint="eastAsia" w:eastAsia="仿宋_GB2312"/>
          <w:b/>
          <w:bCs/>
          <w:kern w:val="2"/>
          <w:sz w:val="30"/>
          <w:szCs w:val="30"/>
        </w:rPr>
        <w:t>4</w:t>
      </w:r>
      <w:r>
        <w:rPr>
          <w:rFonts w:eastAsia="仿宋_GB2312"/>
          <w:b/>
          <w:bCs/>
          <w:kern w:val="2"/>
          <w:sz w:val="30"/>
          <w:szCs w:val="30"/>
        </w:rPr>
        <w:t>月</w:t>
      </w:r>
      <w:r>
        <w:rPr>
          <w:rFonts w:hint="eastAsia" w:eastAsia="仿宋_GB2312"/>
          <w:b/>
          <w:bCs/>
          <w:kern w:val="2"/>
          <w:sz w:val="30"/>
          <w:szCs w:val="30"/>
        </w:rPr>
        <w:t xml:space="preserve"> </w:t>
      </w:r>
    </w:p>
    <w:p>
      <w:pPr>
        <w:tabs>
          <w:tab w:val="left" w:pos="360"/>
          <w:tab w:val="left" w:pos="540"/>
          <w:tab w:val="left" w:pos="3600"/>
          <w:tab w:val="left" w:pos="3780"/>
          <w:tab w:val="left" w:pos="8460"/>
          <w:tab w:val="left" w:pos="9180"/>
        </w:tabs>
        <w:spacing w:line="360" w:lineRule="auto"/>
        <w:jc w:val="center"/>
        <w:outlineLvl w:val="1"/>
        <w:rPr>
          <w:rFonts w:ascii="仿宋" w:hAnsi="仿宋" w:eastAsia="仿宋" w:cs="仿宋"/>
          <w:b/>
          <w:bCs/>
          <w:color w:val="auto"/>
          <w:sz w:val="32"/>
          <w:szCs w:val="32"/>
        </w:rPr>
      </w:pPr>
    </w:p>
    <w:p>
      <w:pPr>
        <w:pStyle w:val="2"/>
        <w:ind w:firstLine="643"/>
        <w:rPr>
          <w:rFonts w:ascii="仿宋" w:hAnsi="仿宋" w:eastAsia="仿宋" w:cs="仿宋"/>
          <w:b/>
          <w:bCs/>
          <w:color w:val="auto"/>
          <w:sz w:val="32"/>
          <w:szCs w:val="32"/>
        </w:rPr>
      </w:pPr>
    </w:p>
    <w:p/>
    <w:p>
      <w:pPr>
        <w:pStyle w:val="14"/>
        <w:spacing w:line="560" w:lineRule="exact"/>
        <w:ind w:left="0" w:leftChars="0" w:firstLine="0" w:firstLineChars="0"/>
        <w:outlineLvl w:val="1"/>
        <w:rPr>
          <w:rFonts w:ascii="Times New Roman" w:hAnsi="Times New Roman" w:eastAsia="黑体"/>
          <w:b/>
          <w:bCs/>
          <w:sz w:val="32"/>
          <w:szCs w:val="32"/>
        </w:rPr>
      </w:pPr>
      <w:r>
        <w:rPr>
          <w:rFonts w:hint="eastAsia" w:ascii="Times New Roman" w:hAnsi="Times New Roman" w:eastAsia="黑体"/>
          <w:b/>
          <w:bCs/>
          <w:sz w:val="32"/>
          <w:szCs w:val="32"/>
        </w:rPr>
        <w:t>一、项目概况（项目详见附件一）</w:t>
      </w:r>
    </w:p>
    <w:p>
      <w:pPr>
        <w:pStyle w:val="29"/>
        <w:widowControl/>
        <w:adjustRightInd w:val="0"/>
        <w:snapToGrid w:val="0"/>
        <w:spacing w:line="520" w:lineRule="exact"/>
        <w:ind w:firstLine="480"/>
        <w:rPr>
          <w:rFonts w:asciiTheme="minorEastAsia" w:hAnsiTheme="minorEastAsia" w:eastAsiaTheme="minorEastAsia" w:cstheme="minorEastAsia"/>
          <w:color w:val="auto"/>
          <w:kern w:val="2"/>
          <w:szCs w:val="24"/>
        </w:rPr>
      </w:pPr>
      <w:r>
        <w:rPr>
          <w:rFonts w:hint="eastAsia" w:asciiTheme="minorEastAsia" w:hAnsiTheme="minorEastAsia" w:eastAsiaTheme="minorEastAsia" w:cstheme="minorEastAsia"/>
          <w:color w:val="auto"/>
          <w:kern w:val="2"/>
          <w:szCs w:val="24"/>
        </w:rPr>
        <w:t>合肥诚达交通工程技术服务有限公司因业务发展需要，拟院内背景文化墙制作及各试验室内部整修（二次招标），现对该项目进行公开招标。</w:t>
      </w:r>
    </w:p>
    <w:p>
      <w:pPr>
        <w:pStyle w:val="14"/>
        <w:spacing w:line="560" w:lineRule="exact"/>
        <w:ind w:left="0" w:leftChars="0" w:firstLine="0" w:firstLineChars="0"/>
        <w:outlineLvl w:val="1"/>
        <w:rPr>
          <w:rFonts w:ascii="Times New Roman" w:hAnsi="Times New Roman" w:eastAsia="黑体"/>
          <w:b/>
          <w:bCs/>
          <w:sz w:val="32"/>
          <w:szCs w:val="32"/>
        </w:rPr>
      </w:pPr>
      <w:r>
        <w:rPr>
          <w:rFonts w:hint="eastAsia" w:ascii="Times New Roman" w:hAnsi="Times New Roman" w:eastAsia="黑体"/>
          <w:b/>
          <w:bCs/>
          <w:sz w:val="32"/>
          <w:szCs w:val="32"/>
        </w:rPr>
        <w:t>二、投标前须知</w:t>
      </w:r>
    </w:p>
    <w:p>
      <w:pPr>
        <w:spacing w:line="560" w:lineRule="exact"/>
        <w:ind w:firstLine="480" w:firstLineChars="200"/>
        <w:rPr>
          <w:rFonts w:asciiTheme="minorEastAsia" w:hAnsiTheme="minorEastAsia" w:eastAsiaTheme="minorEastAsia" w:cstheme="minorEastAsia"/>
          <w:color w:val="auto"/>
          <w:kern w:val="2"/>
          <w:szCs w:val="24"/>
        </w:rPr>
      </w:pPr>
      <w:r>
        <w:rPr>
          <w:rFonts w:hint="eastAsia" w:asciiTheme="minorEastAsia" w:hAnsiTheme="minorEastAsia" w:eastAsiaTheme="minorEastAsia" w:cstheme="minorEastAsia"/>
          <w:color w:val="auto"/>
          <w:kern w:val="2"/>
          <w:szCs w:val="24"/>
        </w:rPr>
        <w:t>尊敬的投标人：</w:t>
      </w:r>
    </w:p>
    <w:p>
      <w:pPr>
        <w:pStyle w:val="24"/>
        <w:widowControl w:val="0"/>
        <w:autoSpaceDE w:val="0"/>
        <w:autoSpaceDN w:val="0"/>
        <w:adjustRightInd w:val="0"/>
        <w:spacing w:before="0" w:after="0" w:line="560" w:lineRule="exact"/>
        <w:rPr>
          <w:rFonts w:hAnsi="仿宋_GB2312" w:cs="仿宋_GB2312"/>
          <w:kern w:val="2"/>
          <w:sz w:val="32"/>
          <w:szCs w:val="32"/>
        </w:rPr>
      </w:pPr>
      <w:r>
        <w:rPr>
          <w:rFonts w:hint="eastAsia" w:asciiTheme="minorEastAsia" w:hAnsiTheme="minorEastAsia" w:eastAsiaTheme="minorEastAsia" w:cstheme="minorEastAsia"/>
          <w:color w:val="auto"/>
          <w:kern w:val="2"/>
        </w:rPr>
        <w:t>合肥诚达交通工程技术服务有限公司院内背景文化墙制作及各试验室内外部整修采购（二次招标），经批准，现以公开招标方式确定中标单位，欢迎具备条件的投标人进行投标。</w:t>
      </w:r>
    </w:p>
    <w:tbl>
      <w:tblPr>
        <w:tblStyle w:val="16"/>
        <w:tblW w:w="92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1"/>
        <w:gridCol w:w="77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3" w:hRule="atLeast"/>
        </w:trPr>
        <w:tc>
          <w:tcPr>
            <w:tcW w:w="9288" w:type="dxa"/>
            <w:gridSpan w:val="2"/>
          </w:tcPr>
          <w:p>
            <w:pPr>
              <w:pStyle w:val="3"/>
              <w:spacing w:line="360" w:lineRule="auto"/>
              <w:ind w:firstLine="0"/>
              <w:jc w:val="center"/>
              <w:rPr>
                <w:rStyle w:val="19"/>
                <w:rFonts w:ascii="宋体" w:hAnsi="宋体" w:eastAsia="宋体" w:cs="宋体"/>
                <w:bCs/>
                <w:sz w:val="24"/>
                <w:szCs w:val="24"/>
              </w:rPr>
            </w:pPr>
            <w:r>
              <w:rPr>
                <w:rStyle w:val="19"/>
                <w:rFonts w:hint="eastAsia" w:ascii="宋体" w:hAnsi="宋体" w:eastAsia="宋体" w:cs="宋体"/>
                <w:bCs/>
                <w:sz w:val="24"/>
                <w:szCs w:val="24"/>
              </w:rPr>
              <w:t>投标人须知前附表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521" w:type="dxa"/>
          </w:tcPr>
          <w:p>
            <w:pPr>
              <w:pStyle w:val="3"/>
              <w:spacing w:line="360" w:lineRule="auto"/>
              <w:ind w:firstLine="0"/>
              <w:jc w:val="center"/>
              <w:rPr>
                <w:rStyle w:val="19"/>
                <w:rFonts w:ascii="宋体" w:hAnsi="宋体" w:eastAsia="宋体" w:cs="宋体"/>
                <w:bCs/>
                <w:sz w:val="24"/>
                <w:szCs w:val="24"/>
              </w:rPr>
            </w:pPr>
            <w:r>
              <w:rPr>
                <w:rStyle w:val="19"/>
                <w:rFonts w:hint="eastAsia" w:ascii="宋体" w:hAnsi="宋体" w:eastAsia="宋体" w:cs="宋体"/>
                <w:bCs/>
                <w:sz w:val="24"/>
                <w:szCs w:val="24"/>
              </w:rPr>
              <w:t>序号</w:t>
            </w:r>
          </w:p>
        </w:tc>
        <w:tc>
          <w:tcPr>
            <w:tcW w:w="7767" w:type="dxa"/>
          </w:tcPr>
          <w:p>
            <w:pPr>
              <w:pStyle w:val="3"/>
              <w:spacing w:line="360" w:lineRule="auto"/>
              <w:ind w:firstLine="0"/>
              <w:jc w:val="center"/>
              <w:rPr>
                <w:rStyle w:val="19"/>
                <w:rFonts w:ascii="宋体" w:hAnsi="宋体" w:eastAsia="宋体" w:cs="宋体"/>
                <w:bCs/>
                <w:sz w:val="24"/>
                <w:szCs w:val="24"/>
              </w:rPr>
            </w:pPr>
            <w:r>
              <w:rPr>
                <w:rStyle w:val="19"/>
                <w:rFonts w:hint="eastAsia" w:ascii="宋体" w:hAnsi="宋体" w:eastAsia="宋体" w:cs="宋体"/>
                <w:bCs/>
                <w:sz w:val="24"/>
                <w:szCs w:val="24"/>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59" w:hRule="atLeast"/>
        </w:trPr>
        <w:tc>
          <w:tcPr>
            <w:tcW w:w="1521" w:type="dxa"/>
            <w:vAlign w:val="center"/>
          </w:tcPr>
          <w:p>
            <w:pPr>
              <w:pStyle w:val="3"/>
              <w:spacing w:line="360" w:lineRule="auto"/>
              <w:ind w:firstLine="0"/>
              <w:jc w:val="center"/>
              <w:rPr>
                <w:rFonts w:ascii="宋体" w:hAnsi="宋体" w:eastAsia="宋体" w:cs="宋体"/>
                <w:sz w:val="24"/>
                <w:szCs w:val="24"/>
              </w:rPr>
            </w:pPr>
            <w:r>
              <w:rPr>
                <w:rFonts w:hint="eastAsia" w:ascii="宋体" w:hAnsi="宋体" w:eastAsia="宋体" w:cs="宋体"/>
                <w:sz w:val="24"/>
                <w:szCs w:val="24"/>
              </w:rPr>
              <w:t>1</w:t>
            </w:r>
          </w:p>
        </w:tc>
        <w:tc>
          <w:tcPr>
            <w:tcW w:w="7767" w:type="dxa"/>
            <w:vAlign w:val="center"/>
          </w:tcPr>
          <w:p>
            <w:pPr>
              <w:tabs>
                <w:tab w:val="left" w:pos="315"/>
                <w:tab w:val="left" w:pos="8820"/>
              </w:tabs>
              <w:spacing w:line="360" w:lineRule="auto"/>
              <w:ind w:left="1680" w:hanging="1680" w:hangingChars="700"/>
              <w:rPr>
                <w:rFonts w:ascii="宋体" w:hAnsi="宋体" w:eastAsia="宋体" w:cs="宋体"/>
                <w:color w:val="auto"/>
                <w:szCs w:val="24"/>
              </w:rPr>
            </w:pPr>
            <w:r>
              <w:rPr>
                <w:rFonts w:hint="eastAsia" w:ascii="宋体" w:hAnsi="宋体" w:eastAsia="宋体" w:cs="宋体"/>
                <w:color w:val="auto"/>
                <w:szCs w:val="24"/>
              </w:rPr>
              <w:t>招标单位：</w:t>
            </w:r>
            <w:r>
              <w:rPr>
                <w:rFonts w:hint="eastAsia" w:asciiTheme="minorEastAsia" w:hAnsiTheme="minorEastAsia" w:eastAsiaTheme="minorEastAsia" w:cstheme="minorEastAsia"/>
                <w:color w:val="auto"/>
                <w:kern w:val="2"/>
                <w:szCs w:val="24"/>
              </w:rPr>
              <w:t>合肥诚达交通工程技术服务有限公司</w:t>
            </w:r>
          </w:p>
          <w:p>
            <w:pPr>
              <w:tabs>
                <w:tab w:val="left" w:pos="315"/>
                <w:tab w:val="left" w:pos="8820"/>
              </w:tabs>
              <w:spacing w:line="360" w:lineRule="auto"/>
              <w:ind w:left="1680" w:hanging="1680" w:hangingChars="700"/>
              <w:rPr>
                <w:rFonts w:ascii="宋体" w:hAnsi="宋体" w:eastAsia="宋体" w:cs="宋体"/>
                <w:color w:val="auto"/>
                <w:szCs w:val="24"/>
              </w:rPr>
            </w:pPr>
            <w:r>
              <w:rPr>
                <w:rFonts w:hint="eastAsia" w:ascii="宋体" w:hAnsi="宋体" w:eastAsia="宋体" w:cs="宋体"/>
                <w:color w:val="auto"/>
                <w:szCs w:val="24"/>
              </w:rPr>
              <w:t>项目名称：</w:t>
            </w:r>
            <w:r>
              <w:rPr>
                <w:rFonts w:hint="eastAsia" w:asciiTheme="minorEastAsia" w:hAnsiTheme="minorEastAsia" w:eastAsiaTheme="minorEastAsia" w:cstheme="minorEastAsia"/>
                <w:color w:val="auto"/>
                <w:kern w:val="2"/>
                <w:szCs w:val="24"/>
              </w:rPr>
              <w:t>合肥诚达交通工程技术服务有限公司院内背景文化墙制作及各试验室内外部整修（二次招标）</w:t>
            </w:r>
          </w:p>
          <w:p>
            <w:pPr>
              <w:spacing w:line="360" w:lineRule="auto"/>
              <w:rPr>
                <w:rStyle w:val="19"/>
                <w:rFonts w:ascii="宋体" w:hAnsi="宋体" w:eastAsia="宋体" w:cs="宋体"/>
                <w:szCs w:val="24"/>
              </w:rPr>
            </w:pPr>
            <w:r>
              <w:rPr>
                <w:rFonts w:hint="eastAsia" w:ascii="宋体" w:hAnsi="宋体" w:eastAsia="宋体" w:cs="宋体"/>
                <w:color w:val="auto"/>
                <w:szCs w:val="24"/>
              </w:rPr>
              <w:t>项目性质：服务类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Fonts w:hint="eastAsia" w:ascii="宋体" w:hAnsi="宋体" w:eastAsia="宋体" w:cs="宋体"/>
                <w:sz w:val="24"/>
                <w:szCs w:val="24"/>
              </w:rPr>
              <w:t>2</w:t>
            </w:r>
          </w:p>
        </w:tc>
        <w:tc>
          <w:tcPr>
            <w:tcW w:w="7767" w:type="dxa"/>
            <w:vAlign w:val="center"/>
          </w:tcPr>
          <w:p>
            <w:pPr>
              <w:spacing w:line="360" w:lineRule="auto"/>
              <w:rPr>
                <w:rFonts w:ascii="宋体" w:hAnsi="宋体" w:eastAsia="宋体" w:cs="宋体"/>
                <w:szCs w:val="24"/>
              </w:rPr>
            </w:pPr>
            <w:r>
              <w:rPr>
                <w:rFonts w:hint="eastAsia" w:ascii="宋体" w:hAnsi="宋体" w:eastAsia="宋体" w:cs="宋体"/>
                <w:color w:val="auto"/>
                <w:szCs w:val="24"/>
              </w:rPr>
              <w:t>招标文件获取办法：投标人可登录</w:t>
            </w:r>
            <w:r>
              <w:rPr>
                <w:rFonts w:hint="eastAsia" w:ascii="宋体" w:hAnsi="宋体" w:eastAsia="宋体" w:cs="宋体"/>
                <w:b/>
                <w:bCs/>
                <w:color w:val="0000FF"/>
                <w:szCs w:val="24"/>
              </w:rPr>
              <w:t>巢湖路桥集团</w:t>
            </w:r>
            <w:r>
              <w:rPr>
                <w:rFonts w:hint="eastAsia" w:ascii="宋体" w:hAnsi="宋体" w:eastAsia="宋体" w:cs="宋体"/>
                <w:color w:val="auto"/>
                <w:szCs w:val="24"/>
              </w:rPr>
              <w:t xml:space="preserve">  (http://www.ahchlqjt.com/)下载文件、提交下载答疑澄清。招标人不另行书面发布上述内容，投标人应及时关注、查阅</w:t>
            </w:r>
            <w:r>
              <w:rPr>
                <w:rFonts w:hint="eastAsia" w:ascii="宋体" w:hAnsi="宋体" w:eastAsia="宋体" w:cs="宋体"/>
                <w:b/>
                <w:bCs/>
                <w:color w:val="0000FF"/>
                <w:szCs w:val="24"/>
              </w:rPr>
              <w:t>巢湖路桥集团</w:t>
            </w:r>
            <w:r>
              <w:rPr>
                <w:rFonts w:hint="eastAsia" w:ascii="宋体" w:hAnsi="宋体" w:eastAsia="宋体" w:cs="宋体"/>
                <w:color w:val="auto"/>
                <w:szCs w:val="24"/>
              </w:rPr>
              <w:t>发布的上述相关内容，否则责任自负。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3</w:t>
            </w:r>
          </w:p>
        </w:tc>
        <w:tc>
          <w:tcPr>
            <w:tcW w:w="7767" w:type="dxa"/>
            <w:vAlign w:val="center"/>
          </w:tcPr>
          <w:p>
            <w:pPr>
              <w:spacing w:line="360" w:lineRule="auto"/>
              <w:rPr>
                <w:rFonts w:ascii="宋体" w:hAnsi="宋体" w:eastAsia="宋体" w:cs="宋体"/>
                <w:color w:val="auto"/>
                <w:szCs w:val="24"/>
                <w:u w:val="single"/>
              </w:rPr>
            </w:pPr>
            <w:r>
              <w:rPr>
                <w:rStyle w:val="19"/>
                <w:rFonts w:hint="eastAsia" w:ascii="宋体" w:hAnsi="宋体" w:eastAsia="宋体" w:cs="宋体"/>
                <w:color w:val="auto"/>
                <w:szCs w:val="24"/>
              </w:rPr>
              <w:t>报名截止时间：</w:t>
            </w:r>
            <w:r>
              <w:rPr>
                <w:rFonts w:hint="eastAsia" w:ascii="宋体" w:hAnsi="宋体" w:eastAsia="宋体" w:cs="宋体"/>
                <w:color w:val="auto"/>
                <w:szCs w:val="24"/>
              </w:rPr>
              <w:t>北京时间</w:t>
            </w:r>
            <w:r>
              <w:rPr>
                <w:rFonts w:hint="eastAsia" w:ascii="宋体" w:hAnsi="宋体" w:eastAsia="宋体" w:cs="宋体"/>
                <w:color w:val="auto"/>
                <w:szCs w:val="24"/>
                <w:u w:val="single"/>
              </w:rPr>
              <w:t>2024</w:t>
            </w:r>
            <w:r>
              <w:rPr>
                <w:rFonts w:hint="eastAsia" w:ascii="宋体" w:hAnsi="宋体" w:eastAsia="宋体" w:cs="宋体"/>
                <w:color w:val="auto"/>
                <w:szCs w:val="24"/>
              </w:rPr>
              <w:t>年</w:t>
            </w:r>
            <w:r>
              <w:rPr>
                <w:rFonts w:hint="eastAsia" w:ascii="宋体" w:hAnsi="宋体" w:eastAsia="宋体" w:cs="宋体"/>
                <w:color w:val="FF0000"/>
                <w:szCs w:val="24"/>
                <w:u w:val="single"/>
              </w:rPr>
              <w:t>4</w:t>
            </w:r>
            <w:r>
              <w:rPr>
                <w:rFonts w:hint="eastAsia" w:ascii="宋体" w:hAnsi="宋体" w:eastAsia="宋体" w:cs="宋体"/>
                <w:color w:val="FF0000"/>
                <w:szCs w:val="24"/>
              </w:rPr>
              <w:t>月</w:t>
            </w:r>
            <w:r>
              <w:rPr>
                <w:rFonts w:hint="eastAsia" w:ascii="宋体" w:hAnsi="宋体" w:eastAsia="宋体" w:cs="宋体"/>
                <w:color w:val="FF0000"/>
                <w:szCs w:val="24"/>
                <w:u w:val="single"/>
              </w:rPr>
              <w:t xml:space="preserve">22 </w:t>
            </w:r>
            <w:r>
              <w:rPr>
                <w:rFonts w:hint="eastAsia" w:ascii="宋体" w:hAnsi="宋体" w:eastAsia="宋体" w:cs="宋体"/>
                <w:color w:val="FF0000"/>
                <w:szCs w:val="24"/>
              </w:rPr>
              <w:t>日</w:t>
            </w:r>
            <w:r>
              <w:rPr>
                <w:rFonts w:hint="eastAsia" w:ascii="宋体" w:hAnsi="宋体" w:eastAsia="宋体" w:cs="宋体"/>
                <w:color w:val="FF0000"/>
                <w:szCs w:val="24"/>
                <w:u w:val="single"/>
              </w:rPr>
              <w:t xml:space="preserve"> 11:30</w:t>
            </w:r>
            <w:r>
              <w:rPr>
                <w:rFonts w:hint="eastAsia" w:ascii="宋体" w:hAnsi="宋体" w:eastAsia="宋体" w:cs="宋体"/>
                <w:color w:val="auto"/>
                <w:szCs w:val="24"/>
              </w:rPr>
              <w:t>（请在此时间前使用投标单位对公账户通过银行转账方式提交投标保证金并备注投标项目名称，逾期未提交投标保证金或未按相关要求提交投标保证金的投标文件将不予接受）</w:t>
            </w:r>
          </w:p>
          <w:p>
            <w:pPr>
              <w:spacing w:line="360" w:lineRule="auto"/>
              <w:rPr>
                <w:rFonts w:ascii="宋体" w:hAnsi="宋体" w:eastAsia="宋体" w:cs="宋体"/>
                <w:b/>
                <w:bCs/>
                <w:color w:val="0000FF"/>
                <w:sz w:val="21"/>
                <w:szCs w:val="21"/>
                <w:shd w:val="clear" w:color="auto" w:fill="FFFFFF"/>
              </w:rPr>
            </w:pPr>
            <w:r>
              <w:rPr>
                <w:rFonts w:hint="eastAsia" w:ascii="宋体" w:hAnsi="宋体" w:eastAsia="宋体" w:cs="宋体"/>
                <w:b/>
                <w:bCs/>
                <w:color w:val="0000FF"/>
                <w:sz w:val="21"/>
                <w:szCs w:val="21"/>
                <w:shd w:val="clear" w:color="auto" w:fill="FFFFFF"/>
              </w:rPr>
              <w:t>保证金汇款账号：</w:t>
            </w:r>
            <w:r>
              <w:rPr>
                <w:rFonts w:hint="eastAsia" w:ascii="Arial" w:hAnsi="Arial" w:eastAsia="宋体" w:cs="Arial"/>
                <w:b/>
                <w:bCs/>
                <w:color w:val="0000FF"/>
                <w:sz w:val="21"/>
                <w:szCs w:val="21"/>
                <w:shd w:val="clear" w:color="auto" w:fill="FFFFFF"/>
              </w:rPr>
              <w:t>34001777708050510326</w:t>
            </w:r>
            <w:r>
              <w:rPr>
                <w:rFonts w:ascii="Arial" w:hAnsi="Arial" w:cs="Arial"/>
                <w:b/>
                <w:bCs/>
                <w:color w:val="0000FF"/>
                <w:sz w:val="21"/>
                <w:szCs w:val="21"/>
              </w:rPr>
              <w:br w:type="textWrapping"/>
            </w:r>
            <w:r>
              <w:rPr>
                <w:rFonts w:hint="eastAsia" w:ascii="宋体" w:hAnsi="宋体" w:eastAsia="宋体" w:cs="宋体"/>
                <w:b/>
                <w:bCs/>
                <w:color w:val="0000FF"/>
                <w:sz w:val="21"/>
                <w:szCs w:val="21"/>
                <w:shd w:val="clear" w:color="auto" w:fill="FFFFFF"/>
              </w:rPr>
              <w:t>汇款账户户名：安徽巢湖路桥建设集团有限公司</w:t>
            </w:r>
            <w:r>
              <w:rPr>
                <w:rFonts w:ascii="Arial" w:hAnsi="Arial" w:cs="Arial"/>
                <w:b/>
                <w:bCs/>
                <w:color w:val="0000FF"/>
                <w:sz w:val="21"/>
                <w:szCs w:val="21"/>
              </w:rPr>
              <w:br w:type="textWrapping"/>
            </w:r>
            <w:r>
              <w:rPr>
                <w:rFonts w:hint="eastAsia" w:ascii="宋体" w:hAnsi="宋体" w:eastAsia="宋体" w:cs="宋体"/>
                <w:b/>
                <w:bCs/>
                <w:color w:val="0000FF"/>
                <w:sz w:val="21"/>
                <w:szCs w:val="21"/>
                <w:shd w:val="clear" w:color="auto" w:fill="FFFFFF"/>
              </w:rPr>
              <w:t>汇款账户开户行：建行巢湖长江路支行</w:t>
            </w:r>
          </w:p>
          <w:p>
            <w:pPr>
              <w:spacing w:line="360" w:lineRule="auto"/>
              <w:rPr>
                <w:rFonts w:ascii="宋体" w:hAnsi="宋体" w:eastAsia="宋体" w:cs="宋体"/>
                <w:b/>
                <w:bCs/>
                <w:color w:val="0000FF"/>
                <w:sz w:val="21"/>
                <w:szCs w:val="21"/>
                <w:shd w:val="clear" w:color="auto" w:fill="FFFFFF"/>
              </w:rPr>
            </w:pPr>
            <w:r>
              <w:rPr>
                <w:rFonts w:hint="eastAsia" w:ascii="宋体" w:hAnsi="宋体" w:eastAsia="宋体" w:cs="宋体"/>
                <w:b/>
                <w:bCs/>
                <w:color w:val="0000FF"/>
                <w:sz w:val="21"/>
                <w:szCs w:val="21"/>
                <w:shd w:val="clear" w:color="auto" w:fill="FFFFFF"/>
              </w:rPr>
              <w:t>行号：105378177054</w:t>
            </w:r>
          </w:p>
          <w:p>
            <w:pPr>
              <w:spacing w:line="360" w:lineRule="auto"/>
            </w:pPr>
            <w:r>
              <w:rPr>
                <w:rFonts w:hint="eastAsia" w:ascii="宋体" w:hAnsi="宋体" w:eastAsia="宋体" w:cs="宋体"/>
                <w:b/>
                <w:bCs/>
                <w:color w:val="0000FF"/>
                <w:sz w:val="21"/>
                <w:szCs w:val="21"/>
                <w:shd w:val="clear" w:color="auto" w:fill="FFFFFF"/>
              </w:rPr>
              <w:t>税号：913401817199869748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4</w:t>
            </w:r>
          </w:p>
        </w:tc>
        <w:tc>
          <w:tcPr>
            <w:tcW w:w="7767" w:type="dxa"/>
            <w:vAlign w:val="center"/>
          </w:tcPr>
          <w:p>
            <w:pPr>
              <w:spacing w:line="360" w:lineRule="auto"/>
              <w:rPr>
                <w:rFonts w:ascii="宋体" w:hAnsi="宋体" w:eastAsia="宋体" w:cs="宋体"/>
                <w:szCs w:val="24"/>
              </w:rPr>
            </w:pPr>
            <w:r>
              <w:rPr>
                <w:rStyle w:val="19"/>
                <w:rFonts w:hint="eastAsia" w:ascii="宋体" w:hAnsi="宋体" w:eastAsia="宋体" w:cs="宋体"/>
                <w:szCs w:val="24"/>
              </w:rPr>
              <w:t>投标保证金金额</w:t>
            </w:r>
            <w:r>
              <w:rPr>
                <w:rFonts w:hint="eastAsia" w:ascii="宋体" w:hAnsi="宋体" w:eastAsia="宋体" w:cs="宋体"/>
                <w:color w:val="auto"/>
                <w:szCs w:val="24"/>
              </w:rPr>
              <w:t>：人民币壹仟元整（￥1000.00）</w:t>
            </w:r>
            <w:r>
              <w:rPr>
                <w:rFonts w:hint="eastAsia" w:ascii="宋体" w:hAnsi="宋体" w:eastAsia="宋体" w:cs="宋体"/>
                <w:szCs w:val="24"/>
              </w:rPr>
              <w:t>，</w:t>
            </w:r>
            <w:r>
              <w:rPr>
                <w:rFonts w:hint="eastAsia" w:ascii="宋体" w:hAnsi="宋体" w:eastAsia="宋体" w:cs="宋体"/>
                <w:color w:val="auto"/>
                <w:szCs w:val="24"/>
              </w:rPr>
              <w:t>投标保证金缴纳单位名称须与投标单位名称一致。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5</w:t>
            </w:r>
          </w:p>
        </w:tc>
        <w:tc>
          <w:tcPr>
            <w:tcW w:w="7767" w:type="dxa"/>
            <w:vAlign w:val="center"/>
          </w:tcPr>
          <w:p>
            <w:pPr>
              <w:spacing w:line="360" w:lineRule="auto"/>
              <w:rPr>
                <w:rFonts w:ascii="宋体" w:hAnsi="宋体" w:eastAsia="宋体" w:cs="宋体"/>
                <w:color w:val="auto"/>
                <w:szCs w:val="24"/>
              </w:rPr>
            </w:pPr>
            <w:r>
              <w:rPr>
                <w:rFonts w:hint="eastAsia" w:ascii="宋体" w:hAnsi="宋体" w:eastAsia="宋体" w:cs="宋体"/>
                <w:szCs w:val="24"/>
              </w:rPr>
              <w:t>投标文件递交地点</w:t>
            </w:r>
            <w:r>
              <w:rPr>
                <w:rFonts w:hint="eastAsia" w:ascii="宋体" w:hAnsi="宋体" w:eastAsia="宋体" w:cs="宋体"/>
                <w:color w:val="auto"/>
                <w:szCs w:val="24"/>
              </w:rPr>
              <w:t>：</w:t>
            </w:r>
            <w:r>
              <w:rPr>
                <w:rStyle w:val="19"/>
                <w:rFonts w:hint="eastAsia" w:ascii="宋体" w:hAnsi="宋体" w:eastAsia="宋体" w:cs="宋体"/>
                <w:color w:val="auto"/>
                <w:szCs w:val="24"/>
              </w:rPr>
              <w:t>合肥市巢湖市紫薇路99号，安徽巢湖路桥建设集团有限公司7楼会议室；</w:t>
            </w:r>
          </w:p>
          <w:p>
            <w:pPr>
              <w:spacing w:line="360" w:lineRule="auto"/>
              <w:rPr>
                <w:rFonts w:ascii="宋体" w:hAnsi="宋体" w:eastAsia="宋体" w:cs="宋体"/>
                <w:color w:val="auto"/>
                <w:szCs w:val="24"/>
              </w:rPr>
            </w:pPr>
            <w:r>
              <w:rPr>
                <w:rFonts w:hint="eastAsia" w:ascii="宋体" w:hAnsi="宋体" w:eastAsia="宋体" w:cs="宋体"/>
                <w:color w:val="FF0000"/>
                <w:szCs w:val="24"/>
              </w:rPr>
              <w:t>投标截止时间及开标时间：北京时间2024年4月22日15:00</w:t>
            </w:r>
            <w:bookmarkStart w:id="8" w:name="_GoBack"/>
            <w:bookmarkEnd w:id="8"/>
            <w:r>
              <w:rPr>
                <w:rFonts w:hint="eastAsia" w:ascii="宋体" w:hAnsi="宋体" w:eastAsia="宋体" w:cs="宋体"/>
                <w:color w:val="auto"/>
                <w:szCs w:val="24"/>
              </w:rPr>
              <w:t>；</w:t>
            </w:r>
          </w:p>
          <w:p>
            <w:pPr>
              <w:spacing w:line="360" w:lineRule="auto"/>
              <w:rPr>
                <w:rFonts w:ascii="宋体" w:hAnsi="宋体" w:eastAsia="宋体" w:cs="宋体"/>
                <w:bCs/>
                <w:color w:val="auto"/>
                <w:szCs w:val="24"/>
              </w:rPr>
            </w:pPr>
            <w:r>
              <w:rPr>
                <w:rFonts w:hint="eastAsia" w:ascii="宋体" w:hAnsi="宋体" w:eastAsia="宋体" w:cs="宋体"/>
                <w:color w:val="auto"/>
                <w:szCs w:val="24"/>
              </w:rPr>
              <w:t>投标文件接收人：黄工(电话:</w:t>
            </w:r>
            <w:r>
              <w:rPr>
                <w:rFonts w:hint="eastAsia" w:ascii="宋体" w:hAnsi="宋体" w:eastAsia="宋体" w:cs="宋体"/>
                <w:b/>
                <w:bCs/>
                <w:color w:val="auto"/>
                <w:szCs w:val="24"/>
              </w:rPr>
              <w:t>0551-82620360</w:t>
            </w:r>
            <w:r>
              <w:rPr>
                <w:rFonts w:hint="eastAsia" w:ascii="宋体" w:hAnsi="宋体" w:eastAsia="宋体" w:cs="宋体"/>
                <w:color w:val="auto"/>
                <w:szCs w:val="24"/>
              </w:rPr>
              <w:t>)</w:t>
            </w:r>
            <w:r>
              <w:rPr>
                <w:rFonts w:hint="eastAsia" w:ascii="宋体" w:hAnsi="宋体" w:eastAsia="宋体" w:cs="宋体"/>
                <w:bCs/>
                <w:color w:val="auto"/>
                <w:szCs w:val="24"/>
              </w:rPr>
              <w:t>；</w:t>
            </w:r>
          </w:p>
          <w:p>
            <w:pPr>
              <w:spacing w:line="360" w:lineRule="auto"/>
              <w:rPr>
                <w:rStyle w:val="19"/>
                <w:rFonts w:ascii="宋体" w:hAnsi="宋体" w:eastAsia="宋体" w:cs="宋体"/>
                <w:b w:val="0"/>
                <w:szCs w:val="24"/>
              </w:rPr>
            </w:pPr>
            <w:r>
              <w:rPr>
                <w:rFonts w:hint="eastAsia" w:ascii="宋体" w:hAnsi="宋体" w:eastAsia="宋体" w:cs="宋体"/>
                <w:bCs/>
                <w:color w:val="auto"/>
                <w:szCs w:val="24"/>
              </w:rPr>
              <w:t>项目单位联系人：丁工（电话：</w:t>
            </w:r>
            <w:r>
              <w:rPr>
                <w:rFonts w:hint="eastAsia" w:ascii="宋体" w:hAnsi="宋体" w:eastAsia="宋体" w:cs="宋体"/>
                <w:b/>
                <w:bCs/>
                <w:color w:val="auto"/>
                <w:szCs w:val="24"/>
              </w:rPr>
              <w:t>15805604067</w:t>
            </w:r>
            <w:r>
              <w:rPr>
                <w:rFonts w:hint="eastAsia" w:ascii="宋体" w:hAnsi="宋体" w:eastAsia="宋体" w:cs="宋体"/>
                <w:bCs/>
                <w:color w:val="auto"/>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6</w:t>
            </w:r>
          </w:p>
        </w:tc>
        <w:tc>
          <w:tcPr>
            <w:tcW w:w="7767" w:type="dxa"/>
            <w:vAlign w:val="center"/>
          </w:tcPr>
          <w:p>
            <w:pPr>
              <w:spacing w:line="360" w:lineRule="auto"/>
              <w:rPr>
                <w:rFonts w:ascii="宋体" w:hAnsi="宋体" w:eastAsia="宋体" w:cs="宋体"/>
                <w:szCs w:val="24"/>
              </w:rPr>
            </w:pPr>
            <w:r>
              <w:rPr>
                <w:rFonts w:hint="eastAsia" w:ascii="宋体" w:hAnsi="宋体" w:eastAsia="宋体" w:cs="宋体"/>
                <w:color w:val="auto"/>
                <w:szCs w:val="24"/>
              </w:rPr>
              <w:t>接收投标文件日期：自投标截止时间前30分钟至投标截止时间止，投标单位法定代表人或其授权代表携带投标文件至开标地点，逾期递交的投标文件或不符合规定的投标文件恕不接受。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7</w:t>
            </w:r>
          </w:p>
        </w:tc>
        <w:tc>
          <w:tcPr>
            <w:tcW w:w="7767" w:type="dxa"/>
            <w:vAlign w:val="center"/>
          </w:tcPr>
          <w:p>
            <w:pPr>
              <w:pStyle w:val="3"/>
              <w:spacing w:line="360" w:lineRule="auto"/>
              <w:ind w:firstLine="0"/>
              <w:rPr>
                <w:rStyle w:val="19"/>
                <w:rFonts w:ascii="宋体" w:hAnsi="宋体" w:eastAsia="宋体" w:cs="宋体"/>
                <w:b w:val="0"/>
                <w:sz w:val="24"/>
                <w:szCs w:val="24"/>
              </w:rPr>
            </w:pPr>
            <w:r>
              <w:rPr>
                <w:rStyle w:val="19"/>
                <w:rFonts w:hint="eastAsia" w:ascii="宋体" w:hAnsi="宋体" w:eastAsia="宋体" w:cs="宋体"/>
                <w:sz w:val="24"/>
                <w:szCs w:val="24"/>
              </w:rPr>
              <w:t>服务期：</w:t>
            </w:r>
            <w:r>
              <w:rPr>
                <w:rFonts w:hint="eastAsia" w:ascii="宋体" w:hAnsi="宋体" w:eastAsia="宋体" w:cs="宋体"/>
                <w:sz w:val="24"/>
                <w:szCs w:val="24"/>
              </w:rPr>
              <w:t>招标项目完成</w:t>
            </w:r>
            <w:r>
              <w:rPr>
                <w:rStyle w:val="19"/>
                <w:rFonts w:hint="eastAsia" w:ascii="宋体" w:hAnsi="宋体" w:eastAsia="宋体" w:cs="宋体"/>
                <w:b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8</w:t>
            </w:r>
          </w:p>
        </w:tc>
        <w:tc>
          <w:tcPr>
            <w:tcW w:w="7767" w:type="dxa"/>
            <w:vAlign w:val="center"/>
          </w:tcPr>
          <w:p>
            <w:pPr>
              <w:spacing w:line="360" w:lineRule="auto"/>
              <w:rPr>
                <w:rFonts w:ascii="宋体" w:hAnsi="宋体" w:eastAsia="宋体" w:cs="宋体"/>
                <w:szCs w:val="24"/>
              </w:rPr>
            </w:pPr>
            <w:r>
              <w:rPr>
                <w:rFonts w:hint="eastAsia" w:ascii="宋体" w:hAnsi="宋体" w:eastAsia="宋体" w:cs="宋体"/>
                <w:szCs w:val="24"/>
              </w:rPr>
              <w:t>报价格式：全费用清单报价。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9</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评标方法：有效最低价。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10</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控制价：人民币</w:t>
            </w:r>
            <w:r>
              <w:rPr>
                <w:rFonts w:hint="eastAsia" w:ascii="宋体" w:hAnsi="宋体" w:cs="宋体"/>
                <w:color w:val="auto"/>
                <w:sz w:val="22"/>
                <w:szCs w:val="22"/>
              </w:rPr>
              <w:t>48328.6</w:t>
            </w:r>
            <w:r>
              <w:rPr>
                <w:rFonts w:hint="eastAsia" w:ascii="宋体" w:hAnsi="宋体" w:eastAsia="宋体" w:cs="宋体"/>
                <w:sz w:val="24"/>
                <w:szCs w:val="24"/>
              </w:rPr>
              <w:t>元，所有单项报价不得超过附件一所列控制单价。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7" w:hRule="atLeast"/>
        </w:trPr>
        <w:tc>
          <w:tcPr>
            <w:tcW w:w="1521" w:type="dxa"/>
            <w:vAlign w:val="center"/>
          </w:tcPr>
          <w:p>
            <w:pPr>
              <w:pStyle w:val="3"/>
              <w:spacing w:line="360" w:lineRule="auto"/>
              <w:ind w:firstLine="0"/>
              <w:jc w:val="center"/>
              <w:rPr>
                <w:rFonts w:ascii="宋体" w:hAnsi="宋体" w:eastAsia="宋体" w:cs="宋体"/>
                <w:color w:val="000000" w:themeColor="text1"/>
                <w:sz w:val="24"/>
                <w:szCs w:val="24"/>
                <w14:textFill>
                  <w14:solidFill>
                    <w14:schemeClr w14:val="tx1"/>
                  </w14:solidFill>
                </w14:textFill>
              </w:rPr>
            </w:pPr>
            <w:r>
              <w:rPr>
                <w:rStyle w:val="19"/>
                <w:rFonts w:hint="eastAsia" w:ascii="宋体" w:hAnsi="宋体" w:eastAsia="宋体" w:cs="宋体"/>
                <w:color w:val="000000" w:themeColor="text1"/>
                <w:sz w:val="24"/>
                <w:szCs w:val="24"/>
                <w14:textFill>
                  <w14:solidFill>
                    <w14:schemeClr w14:val="tx1"/>
                  </w14:solidFill>
                </w14:textFill>
              </w:rPr>
              <w:t>11</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b/>
                <w:bCs/>
                <w:sz w:val="24"/>
                <w:szCs w:val="24"/>
              </w:rPr>
              <w:t>付款方式：</w:t>
            </w:r>
            <w:r>
              <w:rPr>
                <w:rFonts w:hint="eastAsia" w:ascii="宋体" w:hAnsi="宋体" w:eastAsia="宋体" w:cs="宋体"/>
                <w:sz w:val="24"/>
                <w:szCs w:val="24"/>
              </w:rPr>
              <w:t>根据需求方实际需求，中标单位与合肥诚达交通工程技术服务有限公司签订采购合同，根据实际制作量据实结算，中标单位需向合肥诚达交通工程技术服务有限公司提供增值税发票。合同签约前提交中标价5%的履约保证金，合同履行完成后一次性无偿退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Style w:val="19"/>
                <w:rFonts w:hint="eastAsia" w:ascii="宋体" w:hAnsi="宋体" w:eastAsia="宋体" w:cs="宋体"/>
                <w:sz w:val="24"/>
                <w:szCs w:val="24"/>
              </w:rPr>
              <w:t>12</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联合体投标：不允许。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Fonts w:ascii="宋体" w:hAnsi="宋体" w:eastAsia="宋体" w:cs="宋体"/>
                <w:sz w:val="24"/>
                <w:szCs w:val="24"/>
              </w:rPr>
            </w:pPr>
            <w:r>
              <w:rPr>
                <w:rFonts w:hint="eastAsia" w:ascii="宋体" w:hAnsi="宋体" w:eastAsia="宋体" w:cs="宋体"/>
                <w:sz w:val="24"/>
                <w:szCs w:val="24"/>
              </w:rPr>
              <w:t>13</w:t>
            </w:r>
          </w:p>
        </w:tc>
        <w:tc>
          <w:tcPr>
            <w:tcW w:w="7767" w:type="dxa"/>
            <w:vAlign w:val="center"/>
          </w:tcPr>
          <w:p>
            <w:pPr>
              <w:pStyle w:val="3"/>
              <w:spacing w:line="360" w:lineRule="auto"/>
              <w:ind w:firstLine="0"/>
              <w:rPr>
                <w:rStyle w:val="19"/>
                <w:rFonts w:ascii="宋体" w:hAnsi="宋体" w:eastAsia="宋体" w:cs="宋体"/>
                <w:b w:val="0"/>
                <w:sz w:val="24"/>
                <w:szCs w:val="24"/>
              </w:rPr>
            </w:pPr>
            <w:r>
              <w:rPr>
                <w:rFonts w:hint="eastAsia" w:ascii="宋体" w:hAnsi="宋体" w:eastAsia="宋体" w:cs="宋体"/>
                <w:sz w:val="24"/>
                <w:szCs w:val="24"/>
              </w:rPr>
              <w:t>响应文件份数：正本壹份；副本壹份；密封提交。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1521" w:type="dxa"/>
            <w:vAlign w:val="center"/>
          </w:tcPr>
          <w:p>
            <w:pPr>
              <w:pStyle w:val="3"/>
              <w:spacing w:line="360" w:lineRule="auto"/>
              <w:ind w:firstLine="0"/>
              <w:jc w:val="center"/>
              <w:rPr>
                <w:rStyle w:val="19"/>
                <w:rFonts w:ascii="宋体" w:hAnsi="宋体" w:eastAsia="宋体" w:cs="宋体"/>
                <w:b w:val="0"/>
                <w:sz w:val="24"/>
                <w:szCs w:val="24"/>
              </w:rPr>
            </w:pPr>
            <w:r>
              <w:rPr>
                <w:rStyle w:val="19"/>
                <w:rFonts w:hint="eastAsia" w:ascii="宋体" w:hAnsi="宋体" w:eastAsia="宋体" w:cs="宋体"/>
                <w:sz w:val="24"/>
                <w:szCs w:val="24"/>
              </w:rPr>
              <w:t>14</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投标有效期：</w:t>
            </w:r>
            <w:r>
              <w:rPr>
                <w:rStyle w:val="19"/>
                <w:rFonts w:hint="eastAsia" w:ascii="宋体" w:hAnsi="宋体" w:eastAsia="宋体" w:cs="宋体"/>
                <w:sz w:val="24"/>
                <w:szCs w:val="24"/>
              </w:rPr>
              <w:t>投标后60天。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4" w:hRule="atLeast"/>
        </w:trPr>
        <w:tc>
          <w:tcPr>
            <w:tcW w:w="1521" w:type="dxa"/>
            <w:vAlign w:val="center"/>
          </w:tcPr>
          <w:p>
            <w:pPr>
              <w:pStyle w:val="3"/>
              <w:spacing w:line="360" w:lineRule="auto"/>
              <w:ind w:firstLine="0"/>
              <w:jc w:val="center"/>
              <w:rPr>
                <w:rFonts w:ascii="宋体" w:hAnsi="宋体" w:eastAsia="宋体" w:cs="宋体"/>
                <w:sz w:val="24"/>
                <w:szCs w:val="24"/>
              </w:rPr>
            </w:pPr>
            <w:r>
              <w:rPr>
                <w:rFonts w:hint="eastAsia" w:ascii="宋体" w:hAnsi="宋体" w:eastAsia="宋体" w:cs="宋体"/>
                <w:sz w:val="24"/>
                <w:szCs w:val="24"/>
              </w:rPr>
              <w:t>15</w:t>
            </w:r>
          </w:p>
        </w:tc>
        <w:tc>
          <w:tcPr>
            <w:tcW w:w="7767" w:type="dxa"/>
            <w:vAlign w:val="center"/>
          </w:tcPr>
          <w:p>
            <w:pPr>
              <w:pStyle w:val="3"/>
              <w:spacing w:line="360" w:lineRule="auto"/>
              <w:ind w:firstLine="0"/>
              <w:rPr>
                <w:rFonts w:ascii="宋体" w:hAnsi="宋体" w:eastAsia="宋体" w:cs="宋体"/>
                <w:sz w:val="24"/>
                <w:szCs w:val="24"/>
              </w:rPr>
            </w:pPr>
            <w:r>
              <w:rPr>
                <w:rFonts w:hint="eastAsia" w:ascii="宋体" w:hAnsi="宋体" w:eastAsia="宋体" w:cs="宋体"/>
                <w:sz w:val="24"/>
                <w:szCs w:val="24"/>
              </w:rPr>
              <w:t>答疑：自投标人收到《招标文件》起2个工作日内，由投标人将汇总问题书面形式递交招标联系人后统一编制《补遗书》答疑。逾期不再统一答疑，因此产生的损失由投标人自行承担。</w:t>
            </w:r>
          </w:p>
        </w:tc>
      </w:tr>
    </w:tbl>
    <w:p>
      <w:pPr>
        <w:tabs>
          <w:tab w:val="left" w:pos="0"/>
        </w:tabs>
        <w:spacing w:line="560" w:lineRule="exact"/>
        <w:ind w:right="89" w:rightChars="37"/>
        <w:jc w:val="left"/>
        <w:rPr>
          <w:rFonts w:eastAsia="黑体"/>
          <w:b/>
          <w:bCs/>
          <w:sz w:val="32"/>
          <w:szCs w:val="32"/>
        </w:rPr>
      </w:pPr>
      <w:r>
        <w:rPr>
          <w:rFonts w:hint="eastAsia" w:eastAsia="黑体"/>
          <w:b/>
          <w:bCs/>
          <w:sz w:val="32"/>
          <w:szCs w:val="32"/>
        </w:rPr>
        <w:t>三、投标人资格</w:t>
      </w:r>
    </w:p>
    <w:p>
      <w:pPr>
        <w:widowControl/>
        <w:tabs>
          <w:tab w:val="left" w:pos="0"/>
          <w:tab w:val="left" w:pos="180"/>
          <w:tab w:val="left" w:pos="540"/>
        </w:tabs>
        <w:spacing w:line="560" w:lineRule="exact"/>
        <w:ind w:firstLine="640" w:firstLineChars="200"/>
        <w:outlineLvl w:val="2"/>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1.具有独立企业法人资格，独立承担民事责任的法人单位；</w:t>
      </w:r>
    </w:p>
    <w:p>
      <w:pPr>
        <w:autoSpaceDE w:val="0"/>
        <w:autoSpaceDN w:val="0"/>
        <w:adjustRightInd w:val="0"/>
        <w:spacing w:line="560" w:lineRule="exact"/>
        <w:ind w:left="322" w:leftChars="134" w:firstLine="320" w:firstLineChars="100"/>
        <w:jc w:val="lef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2.具有有效的营业执照，且营业执照经营范围涉及广告制作（施工）或设计等与本次标的相关的内容；</w:t>
      </w:r>
    </w:p>
    <w:p>
      <w:pPr>
        <w:autoSpaceDE w:val="0"/>
        <w:autoSpaceDN w:val="0"/>
        <w:adjustRightInd w:val="0"/>
        <w:spacing w:line="560" w:lineRule="exact"/>
        <w:ind w:left="322" w:leftChars="134" w:firstLine="320" w:firstLineChars="100"/>
        <w:jc w:val="lef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3.本项目不允许联合体投标。</w:t>
      </w:r>
    </w:p>
    <w:p>
      <w:pPr>
        <w:tabs>
          <w:tab w:val="left" w:pos="0"/>
        </w:tabs>
        <w:spacing w:line="560" w:lineRule="exact"/>
        <w:ind w:right="89" w:rightChars="37"/>
        <w:jc w:val="left"/>
        <w:rPr>
          <w:rFonts w:eastAsia="黑体"/>
          <w:b/>
          <w:bCs/>
          <w:sz w:val="32"/>
          <w:szCs w:val="32"/>
        </w:rPr>
      </w:pPr>
      <w:r>
        <w:rPr>
          <w:rFonts w:hint="eastAsia" w:eastAsia="黑体"/>
          <w:b/>
          <w:bCs/>
          <w:sz w:val="32"/>
          <w:szCs w:val="32"/>
        </w:rPr>
        <w:t>四、投标人资须知</w:t>
      </w:r>
    </w:p>
    <w:p>
      <w:pPr>
        <w:pStyle w:val="14"/>
        <w:spacing w:line="560" w:lineRule="exact"/>
        <w:ind w:left="0" w:leftChars="0" w:firstLine="640"/>
        <w:rPr>
          <w:rFonts w:hAnsi="仿宋_GB2312" w:cs="仿宋_GB2312"/>
          <w:b/>
          <w:bCs/>
          <w:color w:val="auto"/>
          <w:sz w:val="32"/>
          <w:szCs w:val="32"/>
        </w:rPr>
      </w:pPr>
      <w:r>
        <w:rPr>
          <w:rFonts w:hint="eastAsia" w:hAnsi="仿宋_GB2312" w:cs="仿宋_GB2312"/>
          <w:color w:val="auto"/>
          <w:sz w:val="32"/>
          <w:szCs w:val="32"/>
        </w:rPr>
        <w:t>1.</w:t>
      </w:r>
      <w:r>
        <w:rPr>
          <w:rFonts w:hint="eastAsia" w:hAnsi="仿宋_GB2312" w:cs="仿宋_GB2312"/>
          <w:kern w:val="2"/>
          <w:sz w:val="32"/>
          <w:szCs w:val="32"/>
          <w:lang w:val="zh-CN"/>
        </w:rPr>
        <w:t>投标人需提供经年检有效的营业执照（复印件加盖公章）；报价书；投标函、授权委托书、法定代表人及受委托人身份证复印件，</w:t>
      </w:r>
      <w:r>
        <w:rPr>
          <w:rFonts w:hint="eastAsia" w:hAnsi="仿宋_GB2312" w:cs="仿宋_GB2312"/>
          <w:b/>
          <w:bCs/>
          <w:color w:val="auto"/>
          <w:sz w:val="32"/>
          <w:szCs w:val="32"/>
        </w:rPr>
        <w:t>附件二至四均需按要求提供；以上文件均需加盖投标单位公章。</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color w:val="auto"/>
          <w:sz w:val="32"/>
          <w:szCs w:val="32"/>
        </w:rPr>
        <w:t>2.</w:t>
      </w:r>
      <w:r>
        <w:rPr>
          <w:rFonts w:hint="eastAsia" w:hAnsi="仿宋_GB2312" w:cs="仿宋_GB2312"/>
          <w:kern w:val="2"/>
          <w:sz w:val="32"/>
          <w:szCs w:val="32"/>
          <w:lang w:val="zh-CN"/>
        </w:rPr>
        <w:t>招标文件要求和招标人认为需要提供的其他说明和资料。</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3.严格按照招标文件及承诺签订合同，不得擅自变更招标文件，招标文件及其澄清文件均为合同的组成部分。</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4.本项目采用全费用清单报价：</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按招标人实际需求情况，采用全费用综合单价法报价。分部分项综合单价中包含了完成此项内容的全部应有费用，即综合单价包括了原材料购买、设计、生产（制作）、包装、运输(含过路过桥费)、加工（含加工过程中的材料损耗）、安装施工（含施工过程中的材料损耗）、验收、培训、规费、措施费、利润、税金等全部应有或可能发生的费用，并以综合单价和实际数量作为结算依据。上述费用不应另行单列。</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5.如果招标人认为有必要，可要求投标人在指定时间内提交投标文件的补充资料或证明材料。指定时间内未能提交或提交不全，作无效处理。</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6.投标人应确保其所提供的报价资料的真实性、有效性及合法性，否则，由此引起的任何责任由其自行承担。</w:t>
      </w:r>
    </w:p>
    <w:p>
      <w:pPr>
        <w:pStyle w:val="14"/>
        <w:spacing w:line="560" w:lineRule="exact"/>
        <w:ind w:left="0" w:leftChars="0" w:firstLine="640"/>
        <w:rPr>
          <w:rFonts w:hAnsi="仿宋_GB2312" w:cs="仿宋_GB2312"/>
          <w:kern w:val="2"/>
          <w:sz w:val="32"/>
          <w:szCs w:val="32"/>
        </w:rPr>
      </w:pPr>
      <w:r>
        <w:rPr>
          <w:rFonts w:hint="eastAsia" w:hAnsi="仿宋_GB2312" w:cs="仿宋_GB2312"/>
          <w:kern w:val="2"/>
          <w:sz w:val="32"/>
          <w:szCs w:val="32"/>
        </w:rPr>
        <w:t>7.投标人应对项目进行自行考察，充分了解现场情况，如未进行考察或考察不充分导致的后果，由投标人自行承担。</w:t>
      </w:r>
    </w:p>
    <w:p>
      <w:pPr>
        <w:pStyle w:val="14"/>
        <w:spacing w:line="560" w:lineRule="exact"/>
        <w:ind w:left="0" w:leftChars="0" w:firstLine="640"/>
        <w:rPr>
          <w:rFonts w:hAnsi="仿宋_GB2312" w:cs="仿宋_GB2312"/>
          <w:kern w:val="2"/>
          <w:sz w:val="32"/>
          <w:szCs w:val="32"/>
        </w:rPr>
      </w:pPr>
      <w:r>
        <w:rPr>
          <w:rFonts w:hint="eastAsia" w:hAnsi="仿宋_GB2312" w:cs="仿宋_GB2312"/>
          <w:kern w:val="2"/>
          <w:sz w:val="32"/>
          <w:szCs w:val="32"/>
        </w:rPr>
        <w:t>8</w:t>
      </w:r>
      <w:r>
        <w:rPr>
          <w:rFonts w:hint="eastAsia" w:hAnsi="仿宋_GB2312" w:cs="仿宋_GB2312"/>
          <w:kern w:val="2"/>
          <w:sz w:val="32"/>
          <w:szCs w:val="32"/>
          <w:lang w:val="zh-CN"/>
        </w:rPr>
        <w:t>.投标人对本文件如有不清楚之处，请及时与我公司联系，我公司将尽快予以答复。</w:t>
      </w:r>
    </w:p>
    <w:p>
      <w:pPr>
        <w:pStyle w:val="14"/>
        <w:spacing w:line="560" w:lineRule="exact"/>
        <w:ind w:left="0" w:leftChars="0" w:firstLine="640"/>
        <w:rPr>
          <w:rFonts w:hAnsi="仿宋_GB2312" w:cs="仿宋_GB2312"/>
          <w:b/>
          <w:color w:val="auto"/>
          <w:sz w:val="32"/>
          <w:szCs w:val="32"/>
        </w:rPr>
      </w:pPr>
      <w:r>
        <w:rPr>
          <w:rFonts w:hint="eastAsia" w:hAnsi="仿宋_GB2312" w:cs="仿宋_GB2312"/>
          <w:color w:val="auto"/>
          <w:sz w:val="32"/>
          <w:szCs w:val="32"/>
        </w:rPr>
        <w:t>9.</w:t>
      </w:r>
      <w:r>
        <w:rPr>
          <w:rFonts w:hint="eastAsia" w:hAnsi="仿宋_GB2312" w:cs="仿宋_GB2312"/>
          <w:b/>
          <w:color w:val="auto"/>
          <w:sz w:val="32"/>
          <w:szCs w:val="32"/>
        </w:rPr>
        <w:t>本项目服务期为：自合同签订之日后的</w:t>
      </w:r>
      <w:r>
        <w:rPr>
          <w:rFonts w:hAnsi="仿宋_GB2312" w:cs="仿宋_GB2312"/>
          <w:b/>
          <w:color w:val="auto"/>
          <w:sz w:val="32"/>
          <w:szCs w:val="32"/>
        </w:rPr>
        <w:t xml:space="preserve"> 180天</w:t>
      </w:r>
      <w:r>
        <w:rPr>
          <w:rFonts w:hint="eastAsia" w:hAnsi="仿宋_GB2312" w:cs="仿宋_GB2312"/>
          <w:b/>
          <w:color w:val="auto"/>
          <w:sz w:val="32"/>
          <w:szCs w:val="32"/>
        </w:rPr>
        <w:t>。</w:t>
      </w:r>
    </w:p>
    <w:p>
      <w:pPr>
        <w:pStyle w:val="14"/>
        <w:spacing w:line="560" w:lineRule="exact"/>
        <w:ind w:left="0" w:leftChars="0" w:firstLine="803" w:firstLineChars="250"/>
        <w:rPr>
          <w:rStyle w:val="19"/>
          <w:rFonts w:hAnsi="仿宋_GB2312" w:cs="仿宋_GB2312"/>
          <w:sz w:val="32"/>
          <w:szCs w:val="32"/>
        </w:rPr>
      </w:pPr>
      <w:r>
        <w:rPr>
          <w:rStyle w:val="19"/>
          <w:rFonts w:hint="eastAsia" w:hAnsi="仿宋_GB2312" w:cs="仿宋_GB2312"/>
          <w:sz w:val="32"/>
          <w:szCs w:val="32"/>
        </w:rPr>
        <w:t>1）服务期内对于招标人的任何需求，投标人需无条件响应。主要包含宣传品制作、配送、安装时间及后期维护，应严格按照招标人要求完成宣传广告制品的设计制作，并负责悬挂于指定的位置，确保及时、质量和安全。投标人报价需综合考虑。</w:t>
      </w:r>
    </w:p>
    <w:p>
      <w:pPr>
        <w:pStyle w:val="14"/>
        <w:spacing w:line="560" w:lineRule="exact"/>
        <w:ind w:left="0" w:leftChars="0" w:firstLine="643"/>
        <w:rPr>
          <w:rFonts w:hAnsi="仿宋_GB2312" w:cs="仿宋_GB2312"/>
          <w:b/>
          <w:color w:val="000000" w:themeColor="text1"/>
          <w:sz w:val="32"/>
          <w:szCs w:val="32"/>
          <w14:textFill>
            <w14:solidFill>
              <w14:schemeClr w14:val="tx1"/>
            </w14:solidFill>
          </w14:textFill>
        </w:rPr>
      </w:pPr>
      <w:r>
        <w:rPr>
          <w:rFonts w:hint="eastAsia" w:hAnsi="仿宋_GB2312" w:cs="仿宋_GB2312"/>
          <w:b/>
          <w:color w:val="000000" w:themeColor="text1"/>
          <w:sz w:val="32"/>
          <w:szCs w:val="32"/>
          <w14:textFill>
            <w14:solidFill>
              <w14:schemeClr w14:val="tx1"/>
            </w14:solidFill>
          </w14:textFill>
        </w:rPr>
        <w:t>10.服务地点即货物配送点:</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rPr>
        <w:t>合肥诚达交通工程技术服务</w:t>
      </w:r>
      <w:r>
        <w:rPr>
          <w:rFonts w:hint="eastAsia" w:ascii="仿宋_GB2312" w:hAnsi="仿宋_GB2312" w:eastAsia="仿宋_GB2312" w:cs="仿宋_GB2312"/>
          <w:kern w:val="2"/>
          <w:sz w:val="32"/>
          <w:szCs w:val="32"/>
          <w:lang w:val="zh-CN"/>
        </w:rPr>
        <w:t>有限公司</w:t>
      </w:r>
    </w:p>
    <w:p>
      <w:pPr>
        <w:pStyle w:val="14"/>
        <w:spacing w:line="560" w:lineRule="exact"/>
        <w:ind w:left="0" w:leftChars="0" w:firstLine="640"/>
        <w:rPr>
          <w:rFonts w:hAnsi="仿宋_GB2312" w:cs="仿宋_GB2312"/>
          <w:kern w:val="2"/>
          <w:sz w:val="32"/>
          <w:szCs w:val="32"/>
          <w:lang w:val="zh-CN"/>
        </w:rPr>
      </w:pPr>
      <w:r>
        <w:rPr>
          <w:rFonts w:hint="eastAsia" w:hAnsi="仿宋_GB2312" w:cs="仿宋_GB2312"/>
          <w:kern w:val="2"/>
          <w:sz w:val="32"/>
          <w:szCs w:val="32"/>
          <w:lang w:val="zh-CN"/>
        </w:rPr>
        <w:t>1</w:t>
      </w:r>
      <w:r>
        <w:rPr>
          <w:rFonts w:hint="eastAsia" w:hAnsi="仿宋_GB2312" w:cs="仿宋_GB2312"/>
          <w:kern w:val="2"/>
          <w:sz w:val="32"/>
          <w:szCs w:val="32"/>
        </w:rPr>
        <w:t>1</w:t>
      </w:r>
      <w:r>
        <w:rPr>
          <w:rFonts w:hint="eastAsia" w:hAnsi="仿宋_GB2312" w:cs="仿宋_GB2312"/>
          <w:kern w:val="2"/>
          <w:sz w:val="32"/>
          <w:szCs w:val="32"/>
          <w:lang w:val="zh-CN"/>
        </w:rPr>
        <w:t>.响应文件一律不予退还。</w:t>
      </w:r>
    </w:p>
    <w:p>
      <w:pPr>
        <w:pStyle w:val="14"/>
        <w:spacing w:line="560" w:lineRule="exact"/>
        <w:ind w:left="0" w:leftChars="0" w:firstLine="0" w:firstLineChars="0"/>
        <w:outlineLvl w:val="1"/>
        <w:rPr>
          <w:rFonts w:ascii="Times New Roman" w:hAnsi="Times New Roman" w:eastAsia="黑体"/>
          <w:b/>
          <w:bCs/>
          <w:sz w:val="32"/>
          <w:szCs w:val="32"/>
        </w:rPr>
      </w:pPr>
      <w:bookmarkStart w:id="0" w:name="_Toc231780238"/>
      <w:r>
        <w:rPr>
          <w:rFonts w:hint="eastAsia" w:ascii="Times New Roman" w:hAnsi="Times New Roman" w:eastAsia="黑体"/>
          <w:b/>
          <w:bCs/>
          <w:sz w:val="32"/>
          <w:szCs w:val="32"/>
        </w:rPr>
        <w:t>五、投标保证金办理方式</w:t>
      </w:r>
    </w:p>
    <w:bookmarkEnd w:id="0"/>
    <w:p>
      <w:pPr>
        <w:spacing w:line="560" w:lineRule="exact"/>
        <w:ind w:firstLine="640" w:firstLineChars="200"/>
        <w:rPr>
          <w:rFonts w:ascii="仿宋_GB2312" w:hAnsi="仿宋_GB2312" w:eastAsia="仿宋_GB2312" w:cs="仿宋_GB2312"/>
          <w:kern w:val="2"/>
          <w:sz w:val="32"/>
          <w:szCs w:val="32"/>
          <w:lang w:val="zh-CN"/>
        </w:rPr>
      </w:pPr>
      <w:bookmarkStart w:id="1" w:name="_Toc231780239"/>
      <w:r>
        <w:rPr>
          <w:rFonts w:hint="eastAsia" w:ascii="仿宋_GB2312" w:hAnsi="仿宋_GB2312" w:eastAsia="仿宋_GB2312" w:cs="仿宋_GB2312"/>
          <w:kern w:val="2"/>
          <w:sz w:val="32"/>
          <w:szCs w:val="32"/>
          <w:lang w:val="zh-CN"/>
        </w:rPr>
        <w:t>1.参加投标的投标人应在报名之</w:t>
      </w:r>
      <w:r>
        <w:rPr>
          <w:rFonts w:hint="eastAsia" w:ascii="仿宋_GB2312" w:hAnsi="仿宋_GB2312" w:eastAsia="仿宋_GB2312" w:cs="仿宋_GB2312"/>
          <w:kern w:val="2"/>
          <w:sz w:val="32"/>
          <w:szCs w:val="32"/>
        </w:rPr>
        <w:t>后</w:t>
      </w:r>
      <w:r>
        <w:rPr>
          <w:rFonts w:hint="eastAsia" w:ascii="仿宋_GB2312" w:hAnsi="仿宋_GB2312" w:eastAsia="仿宋_GB2312" w:cs="仿宋_GB2312"/>
          <w:kern w:val="2"/>
          <w:sz w:val="32"/>
          <w:szCs w:val="32"/>
          <w:lang w:val="zh-CN"/>
        </w:rPr>
        <w:t>（时间以转账发生日期为准），以对公转账形式提交规定金额的投标保证金（金额要求见投标须知前附表），作为投标的一部分。</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注：投标保证金缴纳单位名称须与投标单位名称一致。</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2.对未按要求提交投标保证金的投标文件，招标人将予以拒绝。</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3.下列任何情况发生时，投标保证金将不予退还：</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（1）投标人在投标文件规定的投标有效期内撤回报价；</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（2）预中标人在规定期限内未能：</w:t>
      </w:r>
    </w:p>
    <w:p>
      <w:pPr>
        <w:spacing w:line="560" w:lineRule="exact"/>
        <w:ind w:left="720" w:leftChars="300"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（a）根据规定签订合同；</w:t>
      </w:r>
    </w:p>
    <w:p>
      <w:pPr>
        <w:spacing w:line="560" w:lineRule="exact"/>
        <w:ind w:left="720" w:leftChars="300"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（b）根据规定提供履约保证金。</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（3）预中标人放弃中标；</w:t>
      </w:r>
    </w:p>
    <w:p>
      <w:pPr>
        <w:spacing w:line="560" w:lineRule="exact"/>
        <w:ind w:firstLine="640" w:firstLineChars="200"/>
        <w:rPr>
          <w:rFonts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w:t>
      </w:r>
      <w:r>
        <w:rPr>
          <w:rFonts w:hint="eastAsia" w:ascii="仿宋_GB2312" w:hAnsi="仿宋_GB2312" w:eastAsia="仿宋_GB2312" w:cs="仿宋_GB2312"/>
          <w:kern w:val="2"/>
          <w:sz w:val="32"/>
          <w:szCs w:val="32"/>
        </w:rPr>
        <w:t>4</w:t>
      </w:r>
      <w:r>
        <w:rPr>
          <w:rFonts w:hint="eastAsia" w:ascii="仿宋_GB2312" w:hAnsi="仿宋_GB2312" w:eastAsia="仿宋_GB2312" w:cs="仿宋_GB2312"/>
          <w:kern w:val="2"/>
          <w:sz w:val="32"/>
          <w:szCs w:val="32"/>
          <w:lang w:val="zh-CN"/>
        </w:rPr>
        <w:t>）项目单位或招标管理部门认定的其他情形。</w:t>
      </w:r>
      <w:bookmarkEnd w:id="1"/>
    </w:p>
    <w:p>
      <w:pPr>
        <w:pStyle w:val="14"/>
        <w:spacing w:line="460" w:lineRule="exact"/>
        <w:ind w:left="0" w:leftChars="0" w:firstLine="0" w:firstLineChars="0"/>
        <w:outlineLvl w:val="1"/>
        <w:rPr>
          <w:rFonts w:ascii="Times New Roman" w:hAnsi="Times New Roman" w:eastAsia="黑体"/>
          <w:b/>
          <w:bCs/>
          <w:sz w:val="30"/>
          <w:szCs w:val="30"/>
        </w:rPr>
      </w:pPr>
      <w:r>
        <w:rPr>
          <w:rFonts w:hint="eastAsia" w:ascii="Times New Roman" w:hAnsi="Times New Roman" w:eastAsia="黑体"/>
          <w:b/>
          <w:bCs/>
          <w:sz w:val="30"/>
          <w:szCs w:val="30"/>
        </w:rPr>
        <w:t>六、评审方法及标准</w:t>
      </w:r>
    </w:p>
    <w:p>
      <w:pPr>
        <w:spacing w:line="560" w:lineRule="exact"/>
        <w:ind w:firstLine="640" w:firstLineChars="200"/>
        <w:jc w:val="left"/>
        <w:rPr>
          <w:rFonts w:eastAsia="仿宋_GB2312"/>
          <w:sz w:val="32"/>
          <w:szCs w:val="32"/>
        </w:rPr>
      </w:pPr>
      <w:r>
        <w:rPr>
          <w:rFonts w:hint="eastAsia" w:eastAsia="仿宋_GB2312"/>
          <w:sz w:val="32"/>
          <w:szCs w:val="32"/>
        </w:rPr>
        <w:t>1、本次投标活动将采用有效最低价方法评审。</w:t>
      </w:r>
    </w:p>
    <w:p>
      <w:pPr>
        <w:spacing w:line="560" w:lineRule="exact"/>
        <w:ind w:firstLine="640" w:firstLineChars="200"/>
        <w:jc w:val="left"/>
        <w:rPr>
          <w:rFonts w:eastAsia="仿宋_GB2312"/>
          <w:sz w:val="32"/>
          <w:szCs w:val="32"/>
        </w:rPr>
      </w:pPr>
      <w:r>
        <w:rPr>
          <w:rFonts w:hint="eastAsia" w:eastAsia="仿宋_GB2312"/>
          <w:sz w:val="32"/>
          <w:szCs w:val="32"/>
        </w:rPr>
        <w:t>有效最低价法：以价格为主要因素确定中标候选人，即在全部满足招标文件实质性要求（包含资格条件、技术指标及规格、质保期以及招标过程中对以上内容的补充和修改等）的报价文件中，同等的技术规格和服务条件下，根据报价由低到高排出2位中标候选人。</w:t>
      </w:r>
    </w:p>
    <w:p>
      <w:pPr>
        <w:spacing w:line="560" w:lineRule="exact"/>
        <w:ind w:firstLine="640" w:firstLineChars="200"/>
        <w:jc w:val="left"/>
        <w:rPr>
          <w:rFonts w:eastAsia="仿宋_GB2312"/>
          <w:sz w:val="32"/>
          <w:szCs w:val="32"/>
        </w:rPr>
      </w:pPr>
      <w:r>
        <w:rPr>
          <w:rFonts w:hint="eastAsia" w:eastAsia="仿宋_GB2312"/>
          <w:sz w:val="32"/>
          <w:szCs w:val="32"/>
        </w:rPr>
        <w:t>“有效最低价”主要考虑：①报价是否响应招标文件的实质性要求；②报价是否会降低招标文件规定的质量、工期、服务内容、功能要求；③报价是否会低于投标成本；④是否有重大缺项漏项或错项。投标人不得以低于成本价的价格投标；不合理的低价投标无效。</w:t>
      </w:r>
    </w:p>
    <w:p>
      <w:pPr>
        <w:spacing w:line="560" w:lineRule="exact"/>
        <w:ind w:firstLine="640" w:firstLineChars="200"/>
        <w:jc w:val="left"/>
        <w:rPr>
          <w:rFonts w:eastAsia="仿宋_GB2312"/>
          <w:sz w:val="32"/>
          <w:szCs w:val="32"/>
        </w:rPr>
      </w:pPr>
      <w:r>
        <w:rPr>
          <w:rFonts w:hint="eastAsia" w:eastAsia="仿宋_GB2312"/>
          <w:sz w:val="32"/>
          <w:szCs w:val="32"/>
        </w:rPr>
        <w:t>2、投标人报价明显低于预算价、市场价、其他投标人平均报价的，评标委员会可以要求投标人提供合理说明，否则，评标委员会有权认定其报价无效。</w:t>
      </w:r>
    </w:p>
    <w:p>
      <w:pPr>
        <w:spacing w:line="560" w:lineRule="exact"/>
        <w:ind w:firstLine="640" w:firstLineChars="200"/>
        <w:jc w:val="left"/>
        <w:rPr>
          <w:rFonts w:eastAsia="仿宋_GB2312"/>
          <w:sz w:val="32"/>
          <w:szCs w:val="32"/>
          <w:lang w:val="zh-TW" w:eastAsia="zh-TW"/>
        </w:rPr>
      </w:pPr>
      <w:r>
        <w:rPr>
          <w:rFonts w:hint="eastAsia" w:eastAsia="仿宋_GB2312"/>
          <w:sz w:val="32"/>
          <w:szCs w:val="32"/>
        </w:rPr>
        <w:t>3、投标过程中，如果评标委员会一致认定投标人报价不合理的，可以要求投标人提供合理说明，否则评标委员会可以认定其报价无效。</w:t>
      </w:r>
    </w:p>
    <w:p>
      <w:pPr>
        <w:pStyle w:val="14"/>
        <w:spacing w:line="460" w:lineRule="exact"/>
        <w:ind w:left="0" w:leftChars="0" w:firstLine="0" w:firstLineChars="0"/>
        <w:outlineLvl w:val="1"/>
        <w:rPr>
          <w:rFonts w:ascii="Times New Roman" w:hAnsi="Times New Roman" w:eastAsia="黑体"/>
          <w:b/>
          <w:bCs/>
          <w:sz w:val="30"/>
          <w:szCs w:val="30"/>
        </w:rPr>
      </w:pPr>
      <w:r>
        <w:rPr>
          <w:rFonts w:hint="eastAsia" w:ascii="Times New Roman" w:hAnsi="Times New Roman" w:eastAsia="黑体"/>
          <w:b/>
          <w:bCs/>
          <w:sz w:val="30"/>
          <w:szCs w:val="30"/>
        </w:rPr>
        <w:t>七、确定中标人</w:t>
      </w:r>
    </w:p>
    <w:p>
      <w:pPr>
        <w:spacing w:line="560" w:lineRule="exact"/>
        <w:ind w:firstLine="640" w:firstLineChars="200"/>
        <w:jc w:val="left"/>
        <w:rPr>
          <w:rFonts w:eastAsia="仿宋_GB2312"/>
          <w:sz w:val="32"/>
          <w:szCs w:val="32"/>
          <w:lang w:val="zh-CN"/>
        </w:rPr>
      </w:pPr>
      <w:r>
        <w:rPr>
          <w:rFonts w:hint="eastAsia" w:eastAsia="仿宋_GB2312"/>
          <w:sz w:val="32"/>
          <w:szCs w:val="32"/>
          <w:lang w:val="zh-CN"/>
        </w:rPr>
        <w:t>1、</w:t>
      </w:r>
      <w:r>
        <w:rPr>
          <w:rFonts w:hint="eastAsia" w:eastAsia="仿宋_GB2312"/>
          <w:sz w:val="32"/>
          <w:szCs w:val="32"/>
        </w:rPr>
        <w:t>评标委员会</w:t>
      </w:r>
      <w:r>
        <w:rPr>
          <w:rFonts w:hint="eastAsia" w:eastAsia="仿宋_GB2312"/>
          <w:sz w:val="32"/>
          <w:szCs w:val="32"/>
          <w:lang w:val="zh-CN"/>
        </w:rPr>
        <w:t>首先将对各投标人基本资格进行符合性审查，同时对投标资料的响应性进行初审，未通过初审的投标人将不参与详细评审。</w:t>
      </w:r>
    </w:p>
    <w:tbl>
      <w:tblPr>
        <w:tblStyle w:val="16"/>
        <w:tblW w:w="93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755"/>
        <w:gridCol w:w="2428"/>
        <w:gridCol w:w="1159"/>
        <w:gridCol w:w="3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28" w:type="dxa"/>
            <w:gridSpan w:val="5"/>
            <w:vAlign w:val="center"/>
          </w:tcPr>
          <w:p>
            <w:pPr>
              <w:pStyle w:val="26"/>
              <w:pBdr>
                <w:bottom w:val="none" w:color="auto" w:sz="0" w:space="0"/>
              </w:pBdr>
              <w:tabs>
                <w:tab w:val="clear" w:pos="4153"/>
                <w:tab w:val="clear" w:pos="8306"/>
              </w:tabs>
              <w:snapToGrid w:val="0"/>
              <w:spacing w:line="360" w:lineRule="auto"/>
              <w:ind w:right="-10"/>
              <w:textAlignment w:val="auto"/>
              <w:rPr>
                <w:rFonts w:ascii="宋体" w:hAnsi="宋体" w:cs="宋体"/>
                <w:kern w:val="2"/>
                <w:szCs w:val="24"/>
              </w:rPr>
            </w:pPr>
            <w:r>
              <w:rPr>
                <w:rFonts w:hint="eastAsia" w:ascii="宋体" w:hAnsi="宋体" w:cs="宋体"/>
                <w:b/>
                <w:szCs w:val="24"/>
              </w:rPr>
              <w:t>初审表（废标指标一览表）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tcBorders>
              <w:bottom w:val="single" w:color="auto" w:sz="4" w:space="0"/>
            </w:tcBorders>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序号</w:t>
            </w:r>
          </w:p>
        </w:tc>
        <w:tc>
          <w:tcPr>
            <w:tcW w:w="1755" w:type="dxa"/>
            <w:tcBorders>
              <w:bottom w:val="single" w:color="auto" w:sz="4" w:space="0"/>
            </w:tcBorders>
            <w:vAlign w:val="center"/>
          </w:tcPr>
          <w:p>
            <w:pPr>
              <w:pStyle w:val="26"/>
              <w:pBdr>
                <w:bottom w:val="none" w:color="auto" w:sz="0" w:space="0"/>
              </w:pBdr>
              <w:tabs>
                <w:tab w:val="clear" w:pos="4153"/>
                <w:tab w:val="clear" w:pos="8306"/>
              </w:tabs>
              <w:snapToGrid w:val="0"/>
              <w:spacing w:line="360" w:lineRule="auto"/>
              <w:ind w:right="-10"/>
              <w:textAlignment w:val="auto"/>
              <w:rPr>
                <w:rFonts w:ascii="宋体" w:hAnsi="宋体" w:cs="宋体"/>
                <w:kern w:val="2"/>
                <w:szCs w:val="24"/>
              </w:rPr>
            </w:pPr>
            <w:r>
              <w:rPr>
                <w:rFonts w:hint="eastAsia" w:ascii="宋体" w:hAnsi="宋体" w:cs="宋体"/>
                <w:kern w:val="2"/>
                <w:szCs w:val="24"/>
              </w:rPr>
              <w:t>指标名称</w:t>
            </w:r>
          </w:p>
        </w:tc>
        <w:tc>
          <w:tcPr>
            <w:tcW w:w="2428" w:type="dxa"/>
            <w:tcBorders>
              <w:bottom w:val="single" w:color="auto" w:sz="4" w:space="0"/>
            </w:tcBorders>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指标要求</w:t>
            </w:r>
          </w:p>
        </w:tc>
        <w:tc>
          <w:tcPr>
            <w:tcW w:w="1159" w:type="dxa"/>
            <w:tcBorders>
              <w:bottom w:val="single" w:color="auto" w:sz="4" w:space="0"/>
            </w:tcBorders>
            <w:vAlign w:val="center"/>
          </w:tcPr>
          <w:p>
            <w:pPr>
              <w:adjustRightInd w:val="0"/>
              <w:snapToGrid w:val="0"/>
              <w:spacing w:line="360" w:lineRule="auto"/>
              <w:ind w:right="-11"/>
              <w:jc w:val="center"/>
              <w:rPr>
                <w:rFonts w:ascii="宋体" w:hAnsi="宋体" w:cs="宋体"/>
                <w:szCs w:val="24"/>
              </w:rPr>
            </w:pPr>
            <w:r>
              <w:rPr>
                <w:rFonts w:hint="eastAsia" w:ascii="宋体" w:hAnsi="宋体" w:cs="宋体"/>
                <w:szCs w:val="24"/>
              </w:rPr>
              <w:t>是否</w:t>
            </w:r>
          </w:p>
          <w:p>
            <w:pPr>
              <w:adjustRightInd w:val="0"/>
              <w:snapToGrid w:val="0"/>
              <w:spacing w:line="360" w:lineRule="auto"/>
              <w:ind w:right="-11"/>
              <w:jc w:val="center"/>
              <w:rPr>
                <w:rFonts w:ascii="宋体" w:hAnsi="宋体" w:cs="宋体"/>
                <w:szCs w:val="24"/>
              </w:rPr>
            </w:pPr>
            <w:r>
              <w:rPr>
                <w:rFonts w:hint="eastAsia" w:ascii="宋体" w:hAnsi="宋体" w:cs="宋体"/>
                <w:szCs w:val="24"/>
              </w:rPr>
              <w:t>通过</w:t>
            </w:r>
          </w:p>
        </w:tc>
        <w:tc>
          <w:tcPr>
            <w:tcW w:w="3266" w:type="dxa"/>
            <w:tcBorders>
              <w:bottom w:val="single" w:color="auto" w:sz="4" w:space="0"/>
            </w:tcBorders>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投标文件格式及提交资料要求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1</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营业执照</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合法有效</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提供有效三证合一营业执照复印件（加盖公章）。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2</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投标函</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投标函中的授权代表须与投标授权书中保持一致，否则投标无效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3</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投标授权书</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详见投标人须知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4</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投标保证金</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详见投标人须知前附表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5</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投标人资质</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提供证书复印件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6</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业绩</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7</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投标报价</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符合招标文件要求</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8</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标书规范性</w:t>
            </w:r>
          </w:p>
        </w:tc>
        <w:tc>
          <w:tcPr>
            <w:tcW w:w="2428" w:type="dxa"/>
            <w:vAlign w:val="center"/>
          </w:tcPr>
          <w:p>
            <w:pPr>
              <w:pStyle w:val="26"/>
              <w:pBdr>
                <w:bottom w:val="none" w:color="auto" w:sz="0" w:space="0"/>
              </w:pBdr>
              <w:tabs>
                <w:tab w:val="clear" w:pos="4153"/>
                <w:tab w:val="clear" w:pos="8306"/>
              </w:tabs>
              <w:adjustRightInd/>
              <w:spacing w:after="50" w:line="360" w:lineRule="auto"/>
              <w:ind w:right="-10"/>
              <w:textAlignment w:val="auto"/>
              <w:rPr>
                <w:rFonts w:ascii="宋体" w:hAnsi="宋体" w:cs="宋体"/>
                <w:kern w:val="2"/>
                <w:szCs w:val="24"/>
              </w:rPr>
            </w:pPr>
            <w:r>
              <w:rPr>
                <w:rFonts w:hint="eastAsia" w:ascii="宋体" w:hAnsi="宋体" w:cs="宋体"/>
                <w:szCs w:val="24"/>
              </w:rPr>
              <w:t>无严重的编排混乱、内容不全或字迹模糊辨认不清、前后矛盾情况，对评标无实质性影响的；</w:t>
            </w:r>
            <w:r>
              <w:rPr>
                <w:rFonts w:hint="eastAsia" w:ascii="宋体" w:hAnsi="宋体" w:cs="宋体"/>
                <w:kern w:val="2"/>
                <w:szCs w:val="24"/>
              </w:rPr>
              <w:t xml:space="preserve"> </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adjustRightInd w:val="0"/>
              <w:snapToGrid w:val="0"/>
              <w:spacing w:line="360" w:lineRule="auto"/>
              <w:ind w:right="-10"/>
              <w:jc w:val="center"/>
              <w:rPr>
                <w:rFonts w:ascii="宋体" w:hAnsi="宋体" w:cs="宋体"/>
                <w:szCs w:val="24"/>
              </w:rPr>
            </w:pPr>
            <w:r>
              <w:rPr>
                <w:rFonts w:hint="eastAsia" w:ascii="宋体" w:hAnsi="宋体" w:cs="宋体"/>
                <w:szCs w:val="24"/>
              </w:rPr>
              <w:t>9</w:t>
            </w:r>
          </w:p>
        </w:tc>
        <w:tc>
          <w:tcPr>
            <w:tcW w:w="1755" w:type="dxa"/>
            <w:vAlign w:val="center"/>
          </w:tcPr>
          <w:p>
            <w:pPr>
              <w:spacing w:after="50" w:line="360" w:lineRule="auto"/>
              <w:ind w:right="-10"/>
              <w:jc w:val="center"/>
              <w:rPr>
                <w:rFonts w:ascii="宋体" w:hAnsi="宋体" w:cs="宋体"/>
                <w:szCs w:val="24"/>
              </w:rPr>
            </w:pPr>
            <w:r>
              <w:rPr>
                <w:rFonts w:hint="eastAsia" w:ascii="宋体" w:hAnsi="宋体" w:cs="宋体"/>
                <w:szCs w:val="24"/>
              </w:rPr>
              <w:t>其他要求</w:t>
            </w:r>
          </w:p>
        </w:tc>
        <w:tc>
          <w:tcPr>
            <w:tcW w:w="2428" w:type="dxa"/>
            <w:vAlign w:val="center"/>
          </w:tcPr>
          <w:p>
            <w:pPr>
              <w:spacing w:after="50" w:line="360" w:lineRule="auto"/>
              <w:ind w:right="-10"/>
              <w:jc w:val="center"/>
              <w:rPr>
                <w:rFonts w:ascii="宋体" w:hAnsi="宋体" w:cs="宋体"/>
                <w:szCs w:val="24"/>
              </w:rPr>
            </w:pPr>
            <w:r>
              <w:rPr>
                <w:rFonts w:hint="eastAsia" w:ascii="宋体" w:hAnsi="宋体" w:cs="宋体"/>
                <w:szCs w:val="24"/>
              </w:rPr>
              <w:t>上述指标中未列出，但国家相关法律法规或招标文件有明确规定的</w:t>
            </w:r>
          </w:p>
        </w:tc>
        <w:tc>
          <w:tcPr>
            <w:tcW w:w="1159" w:type="dxa"/>
            <w:vAlign w:val="center"/>
          </w:tcPr>
          <w:p>
            <w:pPr>
              <w:adjustRightInd w:val="0"/>
              <w:snapToGrid w:val="0"/>
              <w:spacing w:line="360" w:lineRule="auto"/>
              <w:ind w:right="-10"/>
              <w:jc w:val="center"/>
              <w:rPr>
                <w:rFonts w:ascii="宋体" w:hAnsi="宋体" w:cs="宋体"/>
                <w:szCs w:val="24"/>
              </w:rPr>
            </w:pPr>
          </w:p>
        </w:tc>
        <w:tc>
          <w:tcPr>
            <w:tcW w:w="3266" w:type="dxa"/>
            <w:vAlign w:val="center"/>
          </w:tcPr>
          <w:p>
            <w:pPr>
              <w:adjustRightInd w:val="0"/>
              <w:snapToGrid w:val="0"/>
              <w:spacing w:line="360" w:lineRule="auto"/>
              <w:ind w:right="-10"/>
              <w:jc w:val="center"/>
              <w:rPr>
                <w:rFonts w:ascii="宋体" w:hAnsi="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28" w:type="dxa"/>
            <w:gridSpan w:val="5"/>
            <w:vAlign w:val="center"/>
          </w:tcPr>
          <w:p>
            <w:pPr>
              <w:adjustRightInd w:val="0"/>
              <w:snapToGrid w:val="0"/>
              <w:spacing w:line="360" w:lineRule="auto"/>
              <w:ind w:right="-10"/>
              <w:rPr>
                <w:rFonts w:ascii="宋体" w:hAnsi="宋体" w:cs="宋体"/>
                <w:szCs w:val="24"/>
              </w:rPr>
            </w:pPr>
            <w:r>
              <w:rPr>
                <w:rFonts w:hint="eastAsia" w:ascii="宋体" w:hAnsi="宋体" w:cs="宋体"/>
                <w:szCs w:val="24"/>
              </w:rPr>
              <w:t>初审指标通过标准：投标人必须通过上述全部指标。</w:t>
            </w:r>
          </w:p>
          <w:p>
            <w:pPr>
              <w:adjustRightInd w:val="0"/>
              <w:snapToGrid w:val="0"/>
              <w:spacing w:line="360" w:lineRule="auto"/>
              <w:ind w:right="-10"/>
              <w:rPr>
                <w:rFonts w:ascii="宋体" w:hAnsi="宋体" w:cs="宋体"/>
                <w:szCs w:val="24"/>
              </w:rPr>
            </w:pPr>
            <w:r>
              <w:rPr>
                <w:rFonts w:hint="eastAsia" w:ascii="宋体" w:hAnsi="宋体" w:cs="宋体"/>
                <w:szCs w:val="24"/>
              </w:rPr>
              <w:t>评标委员会根据表中所列各项指标对投标人是否为有效标进行评审，未列入上表中的指标不得作为废标依据。</w:t>
            </w:r>
          </w:p>
        </w:tc>
      </w:tr>
    </w:tbl>
    <w:p>
      <w:pPr>
        <w:spacing w:line="560" w:lineRule="atLeast"/>
        <w:ind w:firstLine="640" w:firstLineChars="200"/>
        <w:jc w:val="left"/>
        <w:rPr>
          <w:rFonts w:eastAsia="仿宋_GB2312"/>
          <w:sz w:val="32"/>
          <w:szCs w:val="32"/>
          <w:lang w:val="zh-CN"/>
        </w:rPr>
      </w:pPr>
      <w:r>
        <w:rPr>
          <w:rFonts w:hint="eastAsia" w:eastAsia="仿宋_GB2312"/>
          <w:sz w:val="32"/>
          <w:szCs w:val="32"/>
        </w:rPr>
        <w:t>2、</w:t>
      </w:r>
      <w:r>
        <w:rPr>
          <w:rFonts w:hint="eastAsia" w:eastAsia="仿宋_GB2312"/>
          <w:sz w:val="32"/>
          <w:szCs w:val="32"/>
          <w:lang w:val="zh-CN"/>
        </w:rPr>
        <w:t>招标</w:t>
      </w:r>
      <w:r>
        <w:rPr>
          <w:rFonts w:hint="eastAsia" w:eastAsia="仿宋_GB2312"/>
          <w:sz w:val="32"/>
          <w:szCs w:val="32"/>
        </w:rPr>
        <w:t>小组将按上述第六条评审方法及标准进行评审。</w:t>
      </w:r>
    </w:p>
    <w:p>
      <w:pPr>
        <w:spacing w:line="560" w:lineRule="atLeast"/>
        <w:ind w:firstLine="640" w:firstLineChars="200"/>
        <w:jc w:val="left"/>
        <w:rPr>
          <w:rFonts w:eastAsia="仿宋_GB2312"/>
          <w:sz w:val="32"/>
          <w:szCs w:val="32"/>
        </w:rPr>
      </w:pPr>
      <w:r>
        <w:rPr>
          <w:rFonts w:hint="eastAsia" w:eastAsia="仿宋_GB2312"/>
          <w:sz w:val="32"/>
          <w:szCs w:val="32"/>
        </w:rPr>
        <w:t>3、</w:t>
      </w:r>
      <w:r>
        <w:rPr>
          <w:rFonts w:hint="eastAsia" w:eastAsia="仿宋_GB2312"/>
          <w:sz w:val="32"/>
          <w:szCs w:val="32"/>
          <w:lang w:val="zh-CN"/>
        </w:rPr>
        <w:t>招标</w:t>
      </w:r>
      <w:r>
        <w:rPr>
          <w:rFonts w:hint="eastAsia" w:eastAsia="仿宋_GB2312"/>
          <w:sz w:val="32"/>
          <w:szCs w:val="32"/>
        </w:rPr>
        <w:t>小组根据评审的结果确定预中标人，并标明排列顺序。</w:t>
      </w:r>
    </w:p>
    <w:p>
      <w:pPr>
        <w:spacing w:line="560" w:lineRule="atLeast"/>
        <w:ind w:firstLine="640" w:firstLineChars="200"/>
        <w:jc w:val="left"/>
        <w:rPr>
          <w:rFonts w:eastAsia="仿宋_GB2312"/>
          <w:sz w:val="32"/>
          <w:szCs w:val="32"/>
          <w:lang w:val="zh-CN"/>
        </w:rPr>
      </w:pPr>
      <w:r>
        <w:rPr>
          <w:rFonts w:hint="eastAsia" w:eastAsia="仿宋_GB2312"/>
          <w:sz w:val="32"/>
          <w:szCs w:val="32"/>
          <w:lang w:val="zh-CN"/>
        </w:rPr>
        <w:t>4、如招标小组认为有必要，可以对预中标人就投标文件所提供的内容进行资格后审。如果确定中标人无法履行合同，将依次对预中标候选人进行类似的审查。</w:t>
      </w:r>
    </w:p>
    <w:p>
      <w:pPr>
        <w:spacing w:line="560" w:lineRule="atLeast"/>
        <w:ind w:firstLine="640" w:firstLineChars="200"/>
        <w:jc w:val="left"/>
        <w:rPr>
          <w:rFonts w:eastAsia="仿宋_GB2312"/>
          <w:sz w:val="32"/>
          <w:szCs w:val="32"/>
          <w:lang w:val="zh-CN"/>
        </w:rPr>
      </w:pPr>
      <w:r>
        <w:rPr>
          <w:rFonts w:hint="eastAsia" w:eastAsia="仿宋_GB2312"/>
          <w:sz w:val="32"/>
          <w:szCs w:val="32"/>
          <w:lang w:val="zh-CN"/>
        </w:rPr>
        <w:t>5、不接受最终审查或在最终审查过程中提供虚假资料的预中标人或预中标候选人，将被取消中标资格，同时按照招投标法的相关法律、法规报主管部门予以处罚。</w:t>
      </w:r>
    </w:p>
    <w:p>
      <w:pPr>
        <w:spacing w:line="560" w:lineRule="atLeast"/>
        <w:ind w:firstLine="640" w:firstLineChars="200"/>
        <w:jc w:val="left"/>
        <w:rPr>
          <w:rFonts w:eastAsia="仿宋_GB2312"/>
          <w:sz w:val="32"/>
          <w:szCs w:val="32"/>
          <w:lang w:val="zh-CN"/>
        </w:rPr>
      </w:pPr>
      <w:r>
        <w:rPr>
          <w:rFonts w:hint="eastAsia" w:eastAsia="仿宋_GB2312"/>
          <w:sz w:val="32"/>
          <w:szCs w:val="32"/>
          <w:lang w:val="zh-CN"/>
        </w:rPr>
        <w:t>6、我公司将向中标人发出中标通知书。</w:t>
      </w:r>
    </w:p>
    <w:p>
      <w:pPr>
        <w:spacing w:line="560" w:lineRule="atLeast"/>
        <w:ind w:firstLine="640" w:firstLineChars="200"/>
        <w:rPr>
          <w:rFonts w:eastAsia="仿宋_GB2312"/>
          <w:kern w:val="2"/>
          <w:sz w:val="32"/>
          <w:szCs w:val="32"/>
        </w:rPr>
      </w:pPr>
      <w:r>
        <w:rPr>
          <w:rFonts w:hint="eastAsia" w:eastAsia="仿宋_GB2312"/>
          <w:sz w:val="32"/>
          <w:szCs w:val="32"/>
          <w:lang w:val="zh-CN"/>
        </w:rPr>
        <w:t>7、中标人在收到中标通知书后应按照中标通知书规定缴纳履约保证金。如果中标人未缴纳履约保证金，招标人有权取消该授标，并没收其投标保证金。在此情况下招标人可</w:t>
      </w:r>
      <w:r>
        <w:rPr>
          <w:rFonts w:hint="eastAsia" w:eastAsia="仿宋_GB2312"/>
          <w:sz w:val="32"/>
          <w:szCs w:val="32"/>
        </w:rPr>
        <w:t>确定</w:t>
      </w:r>
      <w:r>
        <w:rPr>
          <w:rFonts w:hint="eastAsia" w:eastAsia="仿宋_GB2312"/>
          <w:sz w:val="32"/>
          <w:szCs w:val="32"/>
          <w:lang w:val="zh-CN"/>
        </w:rPr>
        <w:t>下一个中标候选人</w:t>
      </w:r>
      <w:r>
        <w:rPr>
          <w:rFonts w:hint="eastAsia" w:eastAsia="仿宋_GB2312"/>
          <w:sz w:val="32"/>
          <w:szCs w:val="32"/>
        </w:rPr>
        <w:t>为中标人</w:t>
      </w:r>
      <w:r>
        <w:rPr>
          <w:rFonts w:hint="eastAsia" w:eastAsia="仿宋_GB2312"/>
          <w:sz w:val="32"/>
          <w:szCs w:val="32"/>
          <w:lang w:val="zh-CN"/>
        </w:rPr>
        <w:t>，或重新组织招标。</w:t>
      </w:r>
    </w:p>
    <w:p>
      <w:pPr>
        <w:pStyle w:val="14"/>
        <w:spacing w:line="560" w:lineRule="exact"/>
        <w:ind w:left="0" w:leftChars="0" w:firstLine="0" w:firstLineChars="0"/>
        <w:outlineLvl w:val="1"/>
        <w:rPr>
          <w:rFonts w:ascii="Times New Roman" w:hAnsi="Times New Roman" w:eastAsia="黑体"/>
          <w:sz w:val="32"/>
          <w:szCs w:val="32"/>
        </w:rPr>
      </w:pPr>
      <w:bookmarkStart w:id="2" w:name="_Toc222971832"/>
      <w:bookmarkStart w:id="3" w:name="_Toc231780242"/>
      <w:bookmarkStart w:id="4" w:name="_Toc222920671"/>
      <w:r>
        <w:rPr>
          <w:rFonts w:hint="eastAsia" w:ascii="Times New Roman" w:hAnsi="Times New Roman" w:eastAsia="黑体"/>
          <w:sz w:val="32"/>
          <w:szCs w:val="32"/>
        </w:rPr>
        <w:t>八</w:t>
      </w:r>
      <w:r>
        <w:rPr>
          <w:rFonts w:ascii="Times New Roman" w:hAnsi="Times New Roman" w:eastAsia="黑体"/>
          <w:sz w:val="32"/>
          <w:szCs w:val="32"/>
        </w:rPr>
        <w:t>、废标</w:t>
      </w:r>
      <w:bookmarkEnd w:id="2"/>
      <w:bookmarkEnd w:id="3"/>
      <w:bookmarkEnd w:id="4"/>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出现下列情况之一时，评审小组有权宣布废标，并将理由通知所有投标人：</w:t>
      </w:r>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1、出现影响公正的违法、违规行为的；</w:t>
      </w:r>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2、投标人的报价均超过了招标预算，招标人不能支付的；</w:t>
      </w:r>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3、因重大变故，投标任务取消的；</w:t>
      </w:r>
    </w:p>
    <w:p>
      <w:pPr>
        <w:spacing w:line="56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4、招标小组评审后一致认定应予废标的。</w:t>
      </w:r>
    </w:p>
    <w:p>
      <w:pPr>
        <w:pStyle w:val="14"/>
        <w:spacing w:line="560" w:lineRule="exact"/>
        <w:ind w:left="0" w:leftChars="0" w:firstLine="0" w:firstLineChars="0"/>
        <w:outlineLvl w:val="1"/>
        <w:rPr>
          <w:rFonts w:ascii="Times New Roman" w:hAnsi="Times New Roman" w:eastAsia="黑体"/>
          <w:sz w:val="32"/>
          <w:szCs w:val="32"/>
        </w:rPr>
      </w:pPr>
      <w:r>
        <w:rPr>
          <w:rFonts w:hint="eastAsia" w:ascii="Times New Roman" w:hAnsi="Times New Roman" w:eastAsia="黑体"/>
          <w:sz w:val="32"/>
          <w:szCs w:val="32"/>
        </w:rPr>
        <w:t>九、合同签订</w:t>
      </w:r>
    </w:p>
    <w:p>
      <w:pPr>
        <w:spacing w:line="560" w:lineRule="exact"/>
        <w:ind w:firstLine="640" w:firstLineChars="200"/>
        <w:rPr>
          <w:rFonts w:eastAsia="黑体"/>
          <w:b/>
          <w:bCs/>
          <w:sz w:val="30"/>
          <w:szCs w:val="30"/>
        </w:rPr>
      </w:pPr>
      <w:bookmarkStart w:id="5" w:name="_Toc222920673"/>
      <w:bookmarkStart w:id="6" w:name="_Toc222971834"/>
      <w:bookmarkStart w:id="7" w:name="_Toc231780244"/>
      <w:r>
        <w:rPr>
          <w:rFonts w:hint="eastAsia" w:eastAsia="仿宋_GB2312"/>
          <w:kern w:val="2"/>
          <w:sz w:val="32"/>
          <w:szCs w:val="32"/>
        </w:rPr>
        <w:t>中标人应按照中标通知书要求的时限内，与招标人签订合同。双方应按照投标文件及投标过程中的有关澄清、说明或者补充文件的内容签订合同。中标人不得再与招标人签订背离合同实质性内容的其他协议或声明。</w:t>
      </w:r>
    </w:p>
    <w:p>
      <w:pPr>
        <w:pStyle w:val="14"/>
        <w:spacing w:line="560" w:lineRule="exact"/>
        <w:ind w:left="0" w:leftChars="0" w:firstLine="0" w:firstLineChars="0"/>
        <w:outlineLvl w:val="1"/>
        <w:rPr>
          <w:rFonts w:ascii="Times New Roman" w:hAnsi="Times New Roman" w:eastAsia="黑体"/>
          <w:sz w:val="30"/>
          <w:szCs w:val="30"/>
        </w:rPr>
      </w:pPr>
      <w:r>
        <w:rPr>
          <w:rFonts w:hint="eastAsia" w:ascii="Times New Roman" w:hAnsi="Times New Roman" w:eastAsia="黑体"/>
          <w:sz w:val="30"/>
          <w:szCs w:val="30"/>
        </w:rPr>
        <w:t>十、其它</w:t>
      </w:r>
      <w:bookmarkEnd w:id="5"/>
      <w:bookmarkEnd w:id="6"/>
      <w:bookmarkEnd w:id="7"/>
    </w:p>
    <w:p>
      <w:pPr>
        <w:spacing w:line="560" w:lineRule="exact"/>
        <w:ind w:firstLine="600" w:firstLineChars="200"/>
        <w:rPr>
          <w:rFonts w:ascii="仿宋_GB2312" w:hAnsi="仿宋_GB2312" w:eastAsia="仿宋_GB2312" w:cs="仿宋_GB2312"/>
          <w:kern w:val="2"/>
          <w:sz w:val="32"/>
          <w:szCs w:val="32"/>
        </w:rPr>
      </w:pPr>
      <w:r>
        <w:rPr>
          <w:rFonts w:hint="eastAsia" w:eastAsia="仿宋_GB2312"/>
          <w:kern w:val="2"/>
          <w:sz w:val="30"/>
          <w:szCs w:val="30"/>
        </w:rPr>
        <w:t xml:space="preserve"> </w:t>
      </w:r>
      <w:r>
        <w:rPr>
          <w:rFonts w:hint="eastAsia" w:ascii="仿宋_GB2312" w:hAnsi="仿宋_GB2312" w:eastAsia="仿宋_GB2312" w:cs="仿宋_GB2312"/>
          <w:kern w:val="2"/>
          <w:sz w:val="32"/>
          <w:szCs w:val="32"/>
        </w:rPr>
        <w:t>1、无论基于何种原因，各项本应作拒绝处理的情形即便未被及时发现而使该投标人进入初审、详细评审或其他后续程序，包括已经签约的情形，一旦在任何时间被发现，则我公司均有权决定是否取消该投标人此前评议的结果或是否对该投标予以拒绝，并有权采取相应的补救或纠正措施。一旦该投标人被拒绝或被取消此前评议结果，其现有的位置将被其他投标人依序替代或重新组织投标，相关的一切损失均由该投标人自行承担。</w:t>
      </w:r>
    </w:p>
    <w:p>
      <w:pPr>
        <w:pStyle w:val="14"/>
        <w:spacing w:line="560" w:lineRule="exact"/>
        <w:ind w:leftChars="0" w:firstLineChars="0"/>
        <w:rPr>
          <w:rFonts w:hAnsi="仿宋_GB2312" w:cs="仿宋_GB2312"/>
          <w:bCs/>
          <w:sz w:val="32"/>
          <w:szCs w:val="32"/>
        </w:rPr>
        <w:sectPr>
          <w:footnotePr>
            <w:numStart w:val="0"/>
          </w:footnotePr>
          <w:endnotePr>
            <w:numFmt w:val="decimal"/>
            <w:numStart w:val="0"/>
          </w:endnotePr>
          <w:pgSz w:w="11906" w:h="16838"/>
          <w:pgMar w:top="1440" w:right="1733" w:bottom="793" w:left="1659" w:header="0" w:footer="0" w:gutter="0"/>
          <w:pgNumType w:fmt="numberInDash"/>
          <w:cols w:space="720" w:num="1"/>
        </w:sectPr>
      </w:pPr>
      <w:r>
        <w:rPr>
          <w:rFonts w:hint="eastAsia" w:hAnsi="仿宋_GB2312" w:cs="仿宋_GB2312"/>
          <w:kern w:val="2"/>
          <w:sz w:val="32"/>
          <w:szCs w:val="32"/>
        </w:rPr>
        <w:t>2、本招标文件的最终解释权归招标人。</w:t>
      </w:r>
    </w:p>
    <w:p>
      <w:pPr>
        <w:autoSpaceDE w:val="0"/>
        <w:autoSpaceDN w:val="0"/>
        <w:snapToGrid w:val="0"/>
        <w:spacing w:line="520" w:lineRule="exact"/>
        <w:jc w:val="left"/>
        <w:outlineLvl w:val="1"/>
        <w:rPr>
          <w:rFonts w:ascii="黑体" w:hAnsi="黑体" w:eastAsia="黑体" w:cs="黑体"/>
          <w:color w:val="auto"/>
          <w:sz w:val="32"/>
          <w:szCs w:val="32"/>
        </w:rPr>
      </w:pPr>
      <w:r>
        <w:rPr>
          <w:rFonts w:hint="eastAsia" w:ascii="黑体" w:hAnsi="黑体" w:eastAsia="黑体" w:cs="黑体"/>
          <w:color w:val="auto"/>
          <w:sz w:val="32"/>
          <w:szCs w:val="32"/>
        </w:rPr>
        <w:t>附件一：</w:t>
      </w:r>
    </w:p>
    <w:p>
      <w:pPr>
        <w:spacing w:line="560" w:lineRule="exact"/>
        <w:jc w:val="center"/>
        <w:outlineLvl w:val="2"/>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项目内容及要求</w:t>
      </w:r>
    </w:p>
    <w:p>
      <w:pPr>
        <w:spacing w:line="560" w:lineRule="exact"/>
        <w:ind w:firstLine="560" w:firstLineChars="200"/>
        <w:outlineLvl w:val="2"/>
        <w:rPr>
          <w:rFonts w:ascii="仿宋_GB2312" w:hAnsi="仿宋_GB2312" w:eastAsia="仿宋_GB2312" w:cs="仿宋_GB2312"/>
          <w:sz w:val="28"/>
          <w:szCs w:val="28"/>
        </w:rPr>
      </w:pPr>
      <w:r>
        <w:rPr>
          <w:rFonts w:hint="eastAsia" w:ascii="仿宋_GB2312" w:hAnsi="仿宋_GB2312" w:eastAsia="仿宋_GB2312" w:cs="仿宋_GB2312"/>
          <w:sz w:val="28"/>
          <w:szCs w:val="28"/>
        </w:rPr>
        <w:t>本项目</w:t>
      </w:r>
      <w:r>
        <w:rPr>
          <w:rFonts w:hint="eastAsia" w:ascii="仿宋_GB2312" w:hAnsi="仿宋_GB2312" w:eastAsia="仿宋_GB2312" w:cs="仿宋_GB2312"/>
          <w:kern w:val="2"/>
          <w:sz w:val="28"/>
          <w:szCs w:val="28"/>
        </w:rPr>
        <w:t>为合肥诚达交通工程技术服务有限公司院内背景文化墙制作及各试验室内外部整修</w:t>
      </w:r>
      <w:r>
        <w:rPr>
          <w:rFonts w:hint="eastAsia" w:ascii="仿宋_GB2312" w:hAnsi="仿宋_GB2312" w:eastAsia="仿宋_GB2312" w:cs="仿宋_GB2312"/>
          <w:sz w:val="28"/>
          <w:szCs w:val="28"/>
        </w:rPr>
        <w:t>项目</w:t>
      </w:r>
      <w:r>
        <w:rPr>
          <w:rFonts w:hint="eastAsia" w:asciiTheme="minorEastAsia" w:hAnsiTheme="minorEastAsia" w:eastAsiaTheme="minorEastAsia" w:cstheme="minorEastAsia"/>
          <w:color w:val="auto"/>
          <w:kern w:val="2"/>
          <w:szCs w:val="24"/>
        </w:rPr>
        <w:t>（二次招标）</w:t>
      </w:r>
      <w:r>
        <w:rPr>
          <w:rFonts w:hint="eastAsia" w:ascii="仿宋_GB2312" w:hAnsi="仿宋_GB2312" w:eastAsia="仿宋_GB2312" w:cs="仿宋_GB2312"/>
          <w:sz w:val="28"/>
          <w:szCs w:val="28"/>
        </w:rPr>
        <w:t>，相关采购需求如下：</w:t>
      </w:r>
    </w:p>
    <w:p>
      <w:pPr>
        <w:spacing w:line="560" w:lineRule="exact"/>
        <w:ind w:firstLine="562" w:firstLineChars="200"/>
        <w:rPr>
          <w:rFonts w:ascii="仿宋_GB2312" w:hAnsi="仿宋_GB2312" w:eastAsia="仿宋_GB2312" w:cs="仿宋_GB2312"/>
          <w:sz w:val="28"/>
          <w:szCs w:val="28"/>
        </w:rPr>
      </w:pPr>
      <w:r>
        <w:rPr>
          <w:rFonts w:hint="eastAsia" w:ascii="仿宋_GB2312" w:hAnsi="仿宋_GB2312" w:eastAsia="仿宋_GB2312" w:cs="仿宋_GB2312"/>
          <w:b/>
          <w:sz w:val="28"/>
          <w:szCs w:val="28"/>
        </w:rPr>
        <w:t>1、服务地点：</w:t>
      </w:r>
      <w:r>
        <w:rPr>
          <w:rFonts w:hint="eastAsia" w:ascii="仿宋_GB2312" w:hAnsi="仿宋_GB2312" w:eastAsia="仿宋_GB2312" w:cs="仿宋_GB2312"/>
          <w:kern w:val="2"/>
          <w:sz w:val="28"/>
          <w:szCs w:val="28"/>
        </w:rPr>
        <w:t>合肥诚达交通工程技术服务</w:t>
      </w:r>
      <w:r>
        <w:rPr>
          <w:rFonts w:hint="eastAsia" w:ascii="仿宋_GB2312" w:hAnsi="仿宋_GB2312" w:eastAsia="仿宋_GB2312" w:cs="仿宋_GB2312"/>
          <w:kern w:val="2"/>
          <w:sz w:val="28"/>
          <w:szCs w:val="28"/>
          <w:lang w:val="zh-CN"/>
        </w:rPr>
        <w:t>有限公司</w:t>
      </w:r>
      <w:r>
        <w:rPr>
          <w:rFonts w:hint="eastAsia" w:ascii="仿宋_GB2312" w:hAnsi="仿宋_GB2312" w:eastAsia="仿宋_GB2312" w:cs="仿宋_GB2312"/>
          <w:sz w:val="28"/>
          <w:szCs w:val="28"/>
        </w:rPr>
        <w:t>，中标单位需与</w:t>
      </w:r>
      <w:r>
        <w:rPr>
          <w:rFonts w:hint="eastAsia" w:ascii="仿宋_GB2312" w:hAnsi="仿宋_GB2312" w:eastAsia="仿宋_GB2312" w:cs="仿宋_GB2312"/>
          <w:kern w:val="2"/>
          <w:sz w:val="28"/>
          <w:szCs w:val="28"/>
        </w:rPr>
        <w:t>合肥诚达交通工程技术服务</w:t>
      </w:r>
      <w:r>
        <w:rPr>
          <w:rFonts w:hint="eastAsia" w:ascii="仿宋_GB2312" w:hAnsi="仿宋_GB2312" w:eastAsia="仿宋_GB2312" w:cs="仿宋_GB2312"/>
          <w:kern w:val="2"/>
          <w:sz w:val="28"/>
          <w:szCs w:val="28"/>
          <w:lang w:val="zh-CN"/>
        </w:rPr>
        <w:t>有限公司</w:t>
      </w:r>
      <w:r>
        <w:rPr>
          <w:rFonts w:hint="eastAsia" w:ascii="仿宋_GB2312" w:hAnsi="仿宋_GB2312" w:eastAsia="仿宋_GB2312" w:cs="仿宋_GB2312"/>
          <w:sz w:val="28"/>
          <w:szCs w:val="28"/>
        </w:rPr>
        <w:t>签订供货合同、开具发票（增值税发票）、结算价格，供货地点见“四、投标人须知 9.”；</w:t>
      </w:r>
    </w:p>
    <w:p>
      <w:pPr>
        <w:tabs>
          <w:tab w:val="left" w:pos="0"/>
        </w:tabs>
        <w:spacing w:line="560" w:lineRule="exact"/>
        <w:ind w:right="89" w:rightChars="37" w:firstLine="627" w:firstLineChars="223"/>
        <w:rPr>
          <w:rFonts w:ascii="仿宋_GB2312" w:hAnsi="仿宋_GB2312" w:eastAsia="仿宋_GB2312" w:cs="仿宋_GB2312"/>
          <w:sz w:val="28"/>
          <w:szCs w:val="28"/>
        </w:rPr>
      </w:pPr>
      <w:r>
        <w:rPr>
          <w:rFonts w:hint="eastAsia" w:ascii="仿宋_GB2312" w:hAnsi="仿宋_GB2312" w:eastAsia="仿宋_GB2312" w:cs="仿宋_GB2312"/>
          <w:b/>
          <w:sz w:val="28"/>
          <w:szCs w:val="28"/>
        </w:rPr>
        <w:t>2、制作数量：</w:t>
      </w:r>
      <w:r>
        <w:rPr>
          <w:rFonts w:hint="eastAsia" w:ascii="仿宋_GB2312" w:hAnsi="仿宋_GB2312" w:eastAsia="仿宋_GB2312" w:cs="仿宋_GB2312"/>
          <w:sz w:val="28"/>
          <w:szCs w:val="28"/>
        </w:rPr>
        <w:t>下表所列各项数量是</w:t>
      </w:r>
      <w:r>
        <w:rPr>
          <w:rFonts w:hint="eastAsia" w:ascii="仿宋_GB2312" w:hAnsi="仿宋_GB2312" w:eastAsia="仿宋_GB2312" w:cs="仿宋_GB2312"/>
          <w:b/>
          <w:sz w:val="28"/>
          <w:szCs w:val="28"/>
        </w:rPr>
        <w:t>年度零散制作的累计预估数量，并非一次性单次制作数量</w:t>
      </w:r>
      <w:r>
        <w:rPr>
          <w:rFonts w:hint="eastAsia" w:ascii="仿宋_GB2312" w:hAnsi="仿宋_GB2312" w:eastAsia="仿宋_GB2312" w:cs="仿宋_GB2312"/>
          <w:sz w:val="28"/>
          <w:szCs w:val="28"/>
        </w:rPr>
        <w:t>。</w:t>
      </w:r>
    </w:p>
    <w:p>
      <w:pPr>
        <w:pStyle w:val="29"/>
        <w:spacing w:line="560" w:lineRule="exact"/>
        <w:ind w:firstLine="562" w:firstLineChars="201"/>
        <w:outlineLvl w:val="2"/>
        <w:rPr>
          <w:rFonts w:ascii="仿宋_GB2312" w:hAnsi="仿宋_GB2312" w:eastAsia="仿宋_GB2312" w:cs="仿宋_GB2312"/>
          <w:sz w:val="28"/>
          <w:szCs w:val="28"/>
        </w:rPr>
      </w:pPr>
      <w:r>
        <w:rPr>
          <w:rFonts w:hint="eastAsia" w:ascii="仿宋_GB2312" w:hAnsi="仿宋_GB2312" w:eastAsia="仿宋_GB2312" w:cs="仿宋_GB2312"/>
          <w:sz w:val="28"/>
          <w:szCs w:val="28"/>
        </w:rPr>
        <w:t>3、物品按照实际制作数量和中标单价结算；</w:t>
      </w:r>
    </w:p>
    <w:p>
      <w:pPr>
        <w:spacing w:line="560" w:lineRule="exact"/>
        <w:ind w:firstLine="560" w:firstLineChars="200"/>
        <w:outlineLvl w:val="2"/>
        <w:rPr>
          <w:rFonts w:ascii="仿宋_GB2312" w:hAnsi="仿宋_GB2312" w:eastAsia="仿宋_GB2312" w:cs="仿宋_GB2312"/>
          <w:sz w:val="28"/>
          <w:szCs w:val="28"/>
        </w:rPr>
      </w:pPr>
      <w:r>
        <w:rPr>
          <w:rFonts w:hint="eastAsia" w:ascii="仿宋_GB2312" w:hAnsi="仿宋_GB2312" w:eastAsia="仿宋_GB2312" w:cs="仿宋_GB2312"/>
          <w:sz w:val="28"/>
          <w:szCs w:val="28"/>
        </w:rPr>
        <w:t>4、项目内容及控制价清单：</w:t>
      </w:r>
    </w:p>
    <w:tbl>
      <w:tblPr>
        <w:tblStyle w:val="17"/>
        <w:tblpPr w:leftFromText="180" w:rightFromText="180" w:vertAnchor="text" w:horzAnchor="page" w:tblpXSpec="center" w:tblpY="173"/>
        <w:tblOverlap w:val="never"/>
        <w:tblW w:w="102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2"/>
        <w:gridCol w:w="1858"/>
        <w:gridCol w:w="1502"/>
        <w:gridCol w:w="735"/>
        <w:gridCol w:w="1772"/>
        <w:gridCol w:w="729"/>
        <w:gridCol w:w="900"/>
        <w:gridCol w:w="1027"/>
        <w:gridCol w:w="1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32" w:type="dxa"/>
            <w:vAlign w:val="center"/>
          </w:tcPr>
          <w:p>
            <w:pPr>
              <w:spacing w:line="0" w:lineRule="atLeast"/>
              <w:jc w:val="center"/>
              <w:rPr>
                <w:rFonts w:eastAsia="宋体"/>
                <w:b/>
                <w:bCs/>
                <w:sz w:val="20"/>
              </w:rPr>
            </w:pPr>
            <w:r>
              <w:rPr>
                <w:rFonts w:hint="eastAsia" w:eastAsia="宋体"/>
                <w:b/>
                <w:bCs/>
                <w:sz w:val="20"/>
              </w:rPr>
              <w:t>序号</w:t>
            </w:r>
          </w:p>
        </w:tc>
        <w:tc>
          <w:tcPr>
            <w:tcW w:w="1858" w:type="dxa"/>
            <w:vAlign w:val="center"/>
          </w:tcPr>
          <w:p>
            <w:pPr>
              <w:spacing w:line="0" w:lineRule="atLeast"/>
              <w:jc w:val="center"/>
              <w:rPr>
                <w:rFonts w:eastAsia="宋体"/>
                <w:b/>
                <w:bCs/>
                <w:sz w:val="20"/>
              </w:rPr>
            </w:pPr>
            <w:r>
              <w:rPr>
                <w:rFonts w:hint="eastAsia" w:eastAsia="宋体"/>
                <w:b/>
                <w:bCs/>
                <w:sz w:val="20"/>
              </w:rPr>
              <w:t>名称</w:t>
            </w:r>
          </w:p>
        </w:tc>
        <w:tc>
          <w:tcPr>
            <w:tcW w:w="1502" w:type="dxa"/>
            <w:vAlign w:val="center"/>
          </w:tcPr>
          <w:p>
            <w:pPr>
              <w:spacing w:line="0" w:lineRule="atLeast"/>
              <w:jc w:val="center"/>
              <w:rPr>
                <w:rFonts w:eastAsia="宋体"/>
                <w:b/>
                <w:bCs/>
                <w:sz w:val="20"/>
              </w:rPr>
            </w:pPr>
            <w:r>
              <w:rPr>
                <w:rFonts w:hint="eastAsia" w:eastAsia="宋体"/>
                <w:b/>
                <w:bCs/>
                <w:sz w:val="20"/>
              </w:rPr>
              <w:t>规格型号</w:t>
            </w:r>
          </w:p>
        </w:tc>
        <w:tc>
          <w:tcPr>
            <w:tcW w:w="735" w:type="dxa"/>
            <w:vAlign w:val="center"/>
          </w:tcPr>
          <w:p>
            <w:pPr>
              <w:spacing w:line="0" w:lineRule="atLeast"/>
              <w:jc w:val="center"/>
              <w:rPr>
                <w:rFonts w:eastAsia="宋体"/>
                <w:b/>
                <w:bCs/>
                <w:sz w:val="20"/>
              </w:rPr>
            </w:pPr>
            <w:r>
              <w:rPr>
                <w:rFonts w:hint="eastAsia" w:eastAsia="宋体"/>
                <w:b/>
                <w:bCs/>
                <w:sz w:val="20"/>
              </w:rPr>
              <w:t>预估</w:t>
            </w:r>
          </w:p>
          <w:p>
            <w:pPr>
              <w:spacing w:line="0" w:lineRule="atLeast"/>
              <w:jc w:val="center"/>
              <w:rPr>
                <w:rFonts w:eastAsia="宋体"/>
                <w:b/>
                <w:bCs/>
                <w:sz w:val="20"/>
              </w:rPr>
            </w:pPr>
            <w:r>
              <w:rPr>
                <w:rFonts w:hint="eastAsia" w:eastAsia="宋体"/>
                <w:b/>
                <w:bCs/>
                <w:sz w:val="20"/>
              </w:rPr>
              <w:t>数量</w:t>
            </w:r>
          </w:p>
        </w:tc>
        <w:tc>
          <w:tcPr>
            <w:tcW w:w="1772" w:type="dxa"/>
            <w:vAlign w:val="center"/>
          </w:tcPr>
          <w:p>
            <w:pPr>
              <w:spacing w:line="0" w:lineRule="atLeast"/>
              <w:jc w:val="center"/>
              <w:rPr>
                <w:rFonts w:eastAsia="宋体"/>
                <w:b/>
                <w:bCs/>
                <w:sz w:val="20"/>
              </w:rPr>
            </w:pPr>
            <w:r>
              <w:rPr>
                <w:rFonts w:hint="eastAsia" w:eastAsia="宋体"/>
                <w:b/>
                <w:bCs/>
                <w:sz w:val="20"/>
              </w:rPr>
              <w:t>材质</w:t>
            </w:r>
          </w:p>
        </w:tc>
        <w:tc>
          <w:tcPr>
            <w:tcW w:w="729" w:type="dxa"/>
            <w:vAlign w:val="center"/>
          </w:tcPr>
          <w:p>
            <w:pPr>
              <w:spacing w:line="0" w:lineRule="atLeast"/>
              <w:jc w:val="center"/>
              <w:rPr>
                <w:rFonts w:eastAsia="宋体"/>
                <w:b/>
                <w:bCs/>
                <w:sz w:val="20"/>
              </w:rPr>
            </w:pPr>
            <w:r>
              <w:rPr>
                <w:rFonts w:hint="eastAsia" w:eastAsia="宋体"/>
                <w:b/>
                <w:bCs/>
                <w:sz w:val="20"/>
              </w:rPr>
              <w:t>计量单位</w:t>
            </w:r>
          </w:p>
        </w:tc>
        <w:tc>
          <w:tcPr>
            <w:tcW w:w="900" w:type="dxa"/>
            <w:vAlign w:val="center"/>
          </w:tcPr>
          <w:p>
            <w:pPr>
              <w:spacing w:line="0" w:lineRule="atLeast"/>
              <w:jc w:val="center"/>
              <w:rPr>
                <w:rFonts w:eastAsia="宋体"/>
                <w:b/>
                <w:bCs/>
                <w:sz w:val="20"/>
              </w:rPr>
            </w:pPr>
            <w:r>
              <w:rPr>
                <w:rFonts w:hint="eastAsia" w:eastAsia="宋体"/>
                <w:b/>
                <w:bCs/>
                <w:sz w:val="20"/>
              </w:rPr>
              <w:t>控制单价（元）</w:t>
            </w:r>
          </w:p>
        </w:tc>
        <w:tc>
          <w:tcPr>
            <w:tcW w:w="1027" w:type="dxa"/>
            <w:vAlign w:val="center"/>
          </w:tcPr>
          <w:p>
            <w:pPr>
              <w:spacing w:line="0" w:lineRule="atLeast"/>
              <w:jc w:val="center"/>
              <w:rPr>
                <w:rFonts w:eastAsia="宋体"/>
                <w:b/>
                <w:bCs/>
                <w:sz w:val="20"/>
              </w:rPr>
            </w:pPr>
            <w:r>
              <w:rPr>
                <w:rFonts w:hint="eastAsia" w:eastAsia="宋体"/>
                <w:b/>
                <w:bCs/>
                <w:sz w:val="20"/>
              </w:rPr>
              <w:t>控制总价（元）</w:t>
            </w:r>
          </w:p>
        </w:tc>
        <w:tc>
          <w:tcPr>
            <w:tcW w:w="1108" w:type="dxa"/>
            <w:vAlign w:val="center"/>
          </w:tcPr>
          <w:p>
            <w:pPr>
              <w:spacing w:line="0" w:lineRule="atLeast"/>
              <w:jc w:val="center"/>
              <w:rPr>
                <w:rFonts w:eastAsia="宋体"/>
                <w:b/>
                <w:bCs/>
                <w:kern w:val="2"/>
                <w:sz w:val="20"/>
              </w:rPr>
            </w:pPr>
            <w:r>
              <w:rPr>
                <w:rFonts w:hint="eastAsia" w:eastAsia="宋体"/>
                <w:b/>
                <w:bCs/>
                <w:sz w:val="2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1</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eastAsia="宋体" w:cs="宋体"/>
                <w:sz w:val="22"/>
                <w:szCs w:val="22"/>
                <w:lang w:bidi="ar"/>
              </w:rPr>
              <w:t>一楼大厅两处企业文化背景墙</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4.5m*2.7m*2</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24.3</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喷绘+铁字喷漆</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平方</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sz w:val="20"/>
                <w:lang w:bidi="ar"/>
              </w:rPr>
              <w:t>90</w:t>
            </w:r>
          </w:p>
        </w:tc>
        <w:tc>
          <w:tcPr>
            <w:tcW w:w="1027"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2187</w:t>
            </w:r>
          </w:p>
        </w:tc>
        <w:tc>
          <w:tcPr>
            <w:tcW w:w="1108" w:type="dxa"/>
            <w:vAlign w:val="center"/>
          </w:tcPr>
          <w:p>
            <w:pPr>
              <w:widowControl/>
              <w:jc w:val="center"/>
              <w:textAlignment w:val="center"/>
              <w:rPr>
                <w:rFonts w:ascii="宋体" w:hAnsi="宋体" w:eastAsia="宋体" w:cs="宋体"/>
                <w:kern w:val="2"/>
                <w:sz w:val="22"/>
                <w:szCs w:val="22"/>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2</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eastAsia="宋体" w:cs="宋体"/>
                <w:sz w:val="22"/>
                <w:szCs w:val="22"/>
                <w:lang w:bidi="ar"/>
              </w:rPr>
              <w:t>楼梯道企业文化</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40cm*90cm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sz w:val="22"/>
                <w:szCs w:val="22"/>
                <w:lang w:bidi="ar"/>
              </w:rPr>
              <w:t>20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KT板+包边</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sz w:val="20"/>
                <w:lang w:bidi="ar"/>
              </w:rPr>
              <w:t>48</w:t>
            </w:r>
          </w:p>
        </w:tc>
        <w:tc>
          <w:tcPr>
            <w:tcW w:w="1027"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960</w:t>
            </w:r>
          </w:p>
        </w:tc>
        <w:tc>
          <w:tcPr>
            <w:tcW w:w="1108"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3</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eastAsia="宋体" w:cs="宋体"/>
                <w:sz w:val="22"/>
                <w:szCs w:val="22"/>
                <w:lang w:bidi="ar"/>
              </w:rPr>
              <w:t>一楼大厅主背景墙</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3.5x2.6</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9.1</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亚克力+PVC+雕刻</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平方</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sz w:val="20"/>
                <w:lang w:bidi="ar"/>
              </w:rPr>
              <w:t>120</w:t>
            </w:r>
          </w:p>
        </w:tc>
        <w:tc>
          <w:tcPr>
            <w:tcW w:w="1027"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1092</w:t>
            </w:r>
          </w:p>
        </w:tc>
        <w:tc>
          <w:tcPr>
            <w:tcW w:w="1108"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4</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eastAsia="宋体" w:cs="宋体"/>
                <w:sz w:val="22"/>
                <w:szCs w:val="22"/>
                <w:lang w:bidi="ar"/>
              </w:rPr>
              <w:t>科室牌</w:t>
            </w:r>
          </w:p>
        </w:tc>
        <w:tc>
          <w:tcPr>
            <w:tcW w:w="1502" w:type="dxa"/>
            <w:vAlign w:val="center"/>
          </w:tcPr>
          <w:p>
            <w:pPr>
              <w:jc w:val="center"/>
              <w:rPr>
                <w:rFonts w:ascii="宋体" w:hAnsi="宋体" w:eastAsia="宋体" w:cs="宋体"/>
                <w:color w:val="auto"/>
                <w:sz w:val="20"/>
                <w:lang w:bidi="ar"/>
              </w:rPr>
            </w:pP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亚克力</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块</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sz w:val="20"/>
                <w:lang w:bidi="ar"/>
              </w:rPr>
              <w:t>35</w:t>
            </w:r>
          </w:p>
        </w:tc>
        <w:tc>
          <w:tcPr>
            <w:tcW w:w="1027"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700</w:t>
            </w:r>
          </w:p>
        </w:tc>
        <w:tc>
          <w:tcPr>
            <w:tcW w:w="1108" w:type="dxa"/>
            <w:vAlign w:val="center"/>
          </w:tcPr>
          <w:p>
            <w:pPr>
              <w:widowControl/>
              <w:jc w:val="center"/>
              <w:textAlignment w:val="center"/>
              <w:rPr>
                <w:rFonts w:ascii="宋体" w:hAnsi="宋体" w:eastAsia="宋体" w:cs="宋体"/>
                <w:kern w:val="2"/>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5</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cs="宋体"/>
                <w:sz w:val="22"/>
                <w:szCs w:val="22"/>
                <w:lang w:bidi="ar"/>
              </w:rPr>
              <w:t>试验室</w:t>
            </w:r>
            <w:r>
              <w:rPr>
                <w:rFonts w:hint="eastAsia" w:ascii="宋体" w:hAnsi="宋体" w:eastAsia="宋体" w:cs="宋体"/>
                <w:sz w:val="22"/>
                <w:szCs w:val="22"/>
                <w:lang w:bidi="ar"/>
              </w:rPr>
              <w:t>制度牌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40x60</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200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KT板</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块</w:t>
            </w:r>
          </w:p>
        </w:tc>
        <w:tc>
          <w:tcPr>
            <w:tcW w:w="900"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45</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9000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6</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cs="宋体"/>
                <w:sz w:val="22"/>
                <w:szCs w:val="22"/>
                <w:lang w:bidi="ar"/>
              </w:rPr>
              <w:t>试验室</w:t>
            </w:r>
            <w:r>
              <w:rPr>
                <w:rFonts w:hint="eastAsia" w:ascii="宋体" w:hAnsi="宋体" w:eastAsia="宋体" w:cs="宋体"/>
                <w:sz w:val="22"/>
                <w:szCs w:val="22"/>
                <w:lang w:bidi="ar"/>
              </w:rPr>
              <w:t>制度牌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44x70</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40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4cm铝合金框架</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45</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1800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7</w:t>
            </w:r>
          </w:p>
        </w:tc>
        <w:tc>
          <w:tcPr>
            <w:tcW w:w="1858" w:type="dxa"/>
            <w:vAlign w:val="center"/>
          </w:tcPr>
          <w:p>
            <w:pPr>
              <w:widowControl/>
              <w:jc w:val="center"/>
              <w:textAlignment w:val="center"/>
              <w:rPr>
                <w:rFonts w:eastAsia="宋体"/>
                <w:kern w:val="2"/>
                <w:sz w:val="21"/>
                <w:szCs w:val="21"/>
              </w:rPr>
            </w:pPr>
            <w:r>
              <w:rPr>
                <w:rFonts w:hint="eastAsia" w:ascii="宋体" w:hAnsi="宋体" w:cs="宋体"/>
                <w:sz w:val="22"/>
                <w:szCs w:val="22"/>
                <w:lang w:bidi="ar"/>
              </w:rPr>
              <w:t>试验室</w:t>
            </w:r>
            <w:r>
              <w:rPr>
                <w:rFonts w:hint="eastAsia" w:ascii="宋体" w:hAnsi="宋体" w:eastAsia="宋体" w:cs="宋体"/>
                <w:sz w:val="22"/>
                <w:szCs w:val="22"/>
                <w:lang w:bidi="ar"/>
              </w:rPr>
              <w:t>门牌更换名称</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可移车贴</w:t>
            </w:r>
          </w:p>
        </w:tc>
        <w:tc>
          <w:tcPr>
            <w:tcW w:w="735" w:type="dxa"/>
            <w:vAlign w:val="center"/>
          </w:tcPr>
          <w:p>
            <w:pPr>
              <w:jc w:val="center"/>
              <w:rPr>
                <w:rFonts w:ascii="宋体" w:hAnsi="宋体" w:eastAsia="宋体" w:cs="宋体"/>
                <w:color w:val="auto"/>
                <w:sz w:val="20"/>
                <w:lang w:bidi="ar"/>
              </w:rPr>
            </w:pPr>
            <w:r>
              <w:rPr>
                <w:rFonts w:hint="eastAsia" w:ascii="宋体" w:hAnsi="宋体" w:cs="宋体"/>
                <w:color w:val="auto"/>
                <w:sz w:val="20"/>
                <w:lang w:bidi="ar"/>
              </w:rPr>
              <w:t>20</w:t>
            </w:r>
          </w:p>
        </w:tc>
        <w:tc>
          <w:tcPr>
            <w:tcW w:w="1772" w:type="dxa"/>
            <w:vAlign w:val="center"/>
          </w:tcPr>
          <w:p>
            <w:pPr>
              <w:jc w:val="center"/>
              <w:rPr>
                <w:rFonts w:ascii="宋体" w:hAnsi="宋体" w:eastAsia="宋体" w:cs="宋体"/>
                <w:color w:val="auto"/>
                <w:kern w:val="2"/>
                <w:sz w:val="20"/>
                <w:lang w:bidi="ar"/>
              </w:rPr>
            </w:pPr>
            <w:r>
              <w:rPr>
                <w:rFonts w:hint="eastAsia" w:ascii="宋体" w:hAnsi="宋体" w:eastAsia="宋体" w:cs="宋体"/>
                <w:sz w:val="22"/>
                <w:szCs w:val="22"/>
                <w:lang w:bidi="ar"/>
              </w:rPr>
              <w:t>车贴</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8</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160</w:t>
            </w:r>
          </w:p>
        </w:tc>
        <w:tc>
          <w:tcPr>
            <w:tcW w:w="1108" w:type="dxa"/>
            <w:vAlign w:val="center"/>
          </w:tcPr>
          <w:p>
            <w:pPr>
              <w:widowControl/>
              <w:jc w:val="center"/>
              <w:textAlignment w:val="center"/>
              <w:rPr>
                <w:rFonts w:ascii="宋体" w:hAnsi="宋体" w:eastAsia="宋体" w:cs="宋体"/>
                <w:color w:val="auto"/>
                <w:sz w:val="20"/>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8</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大院区别单位门楼</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5.5m*5.5m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钢架+喷绘</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6500</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6500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需要入地固定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9</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sz w:val="22"/>
                <w:szCs w:val="22"/>
                <w:lang w:bidi="ar"/>
              </w:rPr>
              <w:t>试验室</w:t>
            </w:r>
            <w:r>
              <w:rPr>
                <w:rFonts w:hint="eastAsia" w:ascii="宋体" w:hAnsi="宋体" w:eastAsia="宋体" w:cs="宋体"/>
                <w:sz w:val="22"/>
                <w:szCs w:val="22"/>
                <w:lang w:bidi="ar"/>
              </w:rPr>
              <w:t>主楼做项目名称广告牌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7.15mx0.8m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5.72</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钢架+喷绘+LOGO</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平方</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kern w:val="2"/>
                <w:sz w:val="20"/>
                <w:lang w:bidi="ar"/>
              </w:rPr>
              <w:t>180</w:t>
            </w:r>
          </w:p>
        </w:tc>
        <w:tc>
          <w:tcPr>
            <w:tcW w:w="1027" w:type="dxa"/>
            <w:vAlign w:val="center"/>
          </w:tcPr>
          <w:p>
            <w:pPr>
              <w:pStyle w:val="2"/>
              <w:ind w:firstLine="0" w:firstLineChars="0"/>
              <w:jc w:val="center"/>
              <w:rPr>
                <w:sz w:val="21"/>
                <w:szCs w:val="22"/>
              </w:rPr>
            </w:pPr>
            <w:r>
              <w:rPr>
                <w:rFonts w:hint="eastAsia"/>
                <w:sz w:val="21"/>
                <w:szCs w:val="22"/>
              </w:rPr>
              <w:t>1029.6</w:t>
            </w:r>
          </w:p>
        </w:tc>
        <w:tc>
          <w:tcPr>
            <w:tcW w:w="1108" w:type="dxa"/>
            <w:vAlign w:val="center"/>
          </w:tcPr>
          <w:p>
            <w:pPr>
              <w:widowControl/>
              <w:jc w:val="center"/>
              <w:textAlignment w:val="center"/>
              <w:rPr>
                <w:rFonts w:eastAsia="宋体"/>
                <w:sz w:val="21"/>
              </w:rPr>
            </w:pPr>
            <w:r>
              <w:rPr>
                <w:rFonts w:hint="eastAsia" w:eastAsia="宋体"/>
                <w:sz w:val="21"/>
              </w:rPr>
              <w:t>需要安装固定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10</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二楼会议室文化墙</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4.5m*1.6m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亚克力字+LOGO+喷绘</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kern w:val="2"/>
                <w:sz w:val="20"/>
                <w:lang w:bidi="ar"/>
              </w:rPr>
              <w:t>整幅</w:t>
            </w:r>
          </w:p>
        </w:tc>
        <w:tc>
          <w:tcPr>
            <w:tcW w:w="900"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1400</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2800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11</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户外马路2处项目道路指示牌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1m*4m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交通标志材料</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3500</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7000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需要入地固定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12</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值班室外单位导向指引牌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2.5m*3m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交通标志材料</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spacing w:line="280" w:lineRule="exact"/>
              <w:jc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4000</w:t>
            </w:r>
          </w:p>
        </w:tc>
        <w:tc>
          <w:tcPr>
            <w:tcW w:w="1027" w:type="dxa"/>
            <w:vAlign w:val="center"/>
          </w:tcPr>
          <w:p>
            <w:pPr>
              <w:spacing w:line="280" w:lineRule="exact"/>
              <w:jc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4000</w:t>
            </w:r>
          </w:p>
        </w:tc>
        <w:tc>
          <w:tcPr>
            <w:tcW w:w="1108" w:type="dxa"/>
            <w:vAlign w:val="center"/>
          </w:tcPr>
          <w:p>
            <w:pPr>
              <w:widowControl/>
              <w:jc w:val="center"/>
              <w:textAlignment w:val="center"/>
              <w:rPr>
                <w:rFonts w:ascii="仿宋" w:hAnsi="仿宋" w:eastAsia="仿宋" w:cs="仿宋"/>
                <w:color w:val="auto"/>
                <w:szCs w:val="24"/>
                <w:lang w:bidi="ar"/>
              </w:rPr>
            </w:pPr>
            <w:r>
              <w:rPr>
                <w:rFonts w:hint="eastAsia" w:ascii="仿宋" w:hAnsi="仿宋" w:eastAsia="仿宋" w:cs="仿宋"/>
                <w:color w:val="auto"/>
                <w:szCs w:val="24"/>
                <w:lang w:bidi="ar"/>
              </w:rPr>
              <w:t>版面面积1.5M*3M，需要入地安装。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63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sz w:val="20"/>
                <w:lang w:bidi="ar"/>
              </w:rPr>
              <w:t>13</w:t>
            </w:r>
          </w:p>
        </w:tc>
        <w:tc>
          <w:tcPr>
            <w:tcW w:w="1858" w:type="dxa"/>
            <w:vAlign w:val="center"/>
          </w:tcPr>
          <w:p>
            <w:pPr>
              <w:widowControl/>
              <w:jc w:val="center"/>
              <w:textAlignment w:val="center"/>
              <w:rPr>
                <w:rFonts w:ascii="宋体" w:hAnsi="宋体" w:eastAsia="宋体" w:cs="宋体"/>
                <w:sz w:val="22"/>
                <w:szCs w:val="22"/>
                <w:lang w:bidi="ar"/>
              </w:rPr>
            </w:pPr>
            <w:r>
              <w:rPr>
                <w:rFonts w:hint="eastAsia" w:ascii="宋体" w:hAnsi="宋体" w:cs="宋体"/>
                <w:sz w:val="22"/>
                <w:szCs w:val="22"/>
                <w:lang w:bidi="ar"/>
              </w:rPr>
              <w:t>铝合金隔断</w:t>
            </w:r>
          </w:p>
        </w:tc>
        <w:tc>
          <w:tcPr>
            <w:tcW w:w="1502" w:type="dxa"/>
            <w:vAlign w:val="center"/>
          </w:tcPr>
          <w:p>
            <w:pPr>
              <w:widowControl/>
              <w:jc w:val="center"/>
              <w:textAlignment w:val="center"/>
              <w:rPr>
                <w:rFonts w:ascii="宋体" w:hAnsi="宋体" w:eastAsia="宋体" w:cs="宋体"/>
                <w:sz w:val="22"/>
                <w:szCs w:val="22"/>
                <w:lang w:bidi="ar"/>
              </w:rPr>
            </w:pPr>
            <w:r>
              <w:rPr>
                <w:rFonts w:hint="eastAsia" w:ascii="宋体" w:hAnsi="宋体" w:eastAsia="宋体" w:cs="宋体"/>
                <w:sz w:val="22"/>
                <w:szCs w:val="22"/>
                <w:lang w:bidi="ar"/>
              </w:rPr>
              <w:t>铝合金厚度1.12mm,单层钢化玻璃6mm厚度，做推拉门。</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约16平方</w:t>
            </w:r>
          </w:p>
        </w:tc>
        <w:tc>
          <w:tcPr>
            <w:tcW w:w="1772" w:type="dxa"/>
            <w:vAlign w:val="center"/>
          </w:tcPr>
          <w:p>
            <w:pPr>
              <w:widowControl/>
              <w:jc w:val="center"/>
              <w:textAlignment w:val="center"/>
              <w:rPr>
                <w:rFonts w:ascii="宋体" w:hAnsi="宋体" w:eastAsia="宋体" w:cs="宋体"/>
                <w:sz w:val="22"/>
                <w:szCs w:val="22"/>
                <w:lang w:bidi="ar"/>
              </w:rPr>
            </w:pPr>
            <w:r>
              <w:rPr>
                <w:rFonts w:hint="eastAsia" w:ascii="宋体" w:hAnsi="宋体" w:cs="宋体"/>
                <w:sz w:val="22"/>
                <w:szCs w:val="22"/>
                <w:lang w:bidi="ar"/>
              </w:rPr>
              <w:t>铝合金+</w:t>
            </w:r>
            <w:r>
              <w:rPr>
                <w:rFonts w:hint="eastAsia" w:ascii="宋体" w:hAnsi="宋体" w:eastAsia="宋体" w:cs="宋体"/>
                <w:sz w:val="22"/>
                <w:szCs w:val="22"/>
                <w:lang w:bidi="ar"/>
              </w:rPr>
              <w:t>钢化玻璃</w:t>
            </w:r>
          </w:p>
        </w:tc>
        <w:tc>
          <w:tcPr>
            <w:tcW w:w="729" w:type="dxa"/>
            <w:vAlign w:val="center"/>
          </w:tcPr>
          <w:p>
            <w:pPr>
              <w:widowControl/>
              <w:jc w:val="center"/>
              <w:textAlignment w:val="center"/>
              <w:rPr>
                <w:rFonts w:ascii="宋体" w:hAnsi="宋体" w:eastAsia="宋体" w:cs="宋体"/>
                <w:sz w:val="22"/>
                <w:szCs w:val="22"/>
                <w:lang w:bidi="ar"/>
              </w:rPr>
            </w:pPr>
            <w:r>
              <w:rPr>
                <w:rFonts w:hint="eastAsia" w:ascii="宋体" w:hAnsi="宋体" w:eastAsia="宋体" w:cs="宋体"/>
                <w:sz w:val="22"/>
                <w:szCs w:val="22"/>
                <w:lang w:bidi="ar"/>
              </w:rPr>
              <w:t>平方</w:t>
            </w:r>
          </w:p>
        </w:tc>
        <w:tc>
          <w:tcPr>
            <w:tcW w:w="900" w:type="dxa"/>
            <w:vAlign w:val="center"/>
          </w:tcPr>
          <w:p>
            <w:pPr>
              <w:spacing w:line="280" w:lineRule="exact"/>
              <w:jc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200</w:t>
            </w:r>
          </w:p>
        </w:tc>
        <w:tc>
          <w:tcPr>
            <w:tcW w:w="1027" w:type="dxa"/>
            <w:vAlign w:val="center"/>
          </w:tcPr>
          <w:p>
            <w:pPr>
              <w:spacing w:line="280" w:lineRule="exact"/>
              <w:jc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3200</w:t>
            </w:r>
          </w:p>
        </w:tc>
        <w:tc>
          <w:tcPr>
            <w:tcW w:w="1108" w:type="dxa"/>
            <w:vAlign w:val="center"/>
          </w:tcPr>
          <w:p>
            <w:pPr>
              <w:widowControl/>
              <w:jc w:val="center"/>
              <w:textAlignment w:val="center"/>
              <w:rPr>
                <w:rFonts w:ascii="宋体" w:hAnsi="宋体" w:eastAsia="宋体" w:cs="宋体"/>
                <w:sz w:val="22"/>
                <w:szCs w:val="22"/>
                <w:lang w:bidi="ar"/>
              </w:rPr>
            </w:pPr>
            <w:r>
              <w:rPr>
                <w:rFonts w:hint="eastAsia" w:ascii="宋体" w:hAnsi="宋体" w:eastAsia="宋体" w:cs="宋体"/>
                <w:sz w:val="22"/>
                <w:szCs w:val="22"/>
                <w:lang w:bidi="ar"/>
              </w:rPr>
              <w:t>需要安装，并且钢化玻璃需要开孔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63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sz w:val="20"/>
                <w:lang w:bidi="ar"/>
              </w:rPr>
              <w:t>14</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sz w:val="22"/>
                <w:szCs w:val="22"/>
                <w:lang w:bidi="ar"/>
              </w:rPr>
              <w:t>试验室</w:t>
            </w:r>
            <w:r>
              <w:rPr>
                <w:rFonts w:hint="eastAsia" w:ascii="宋体" w:hAnsi="宋体" w:eastAsia="宋体" w:cs="宋体"/>
                <w:sz w:val="22"/>
                <w:szCs w:val="22"/>
                <w:lang w:bidi="ar"/>
              </w:rPr>
              <w:t>油漆修补</w:t>
            </w:r>
          </w:p>
        </w:tc>
        <w:tc>
          <w:tcPr>
            <w:tcW w:w="1502" w:type="dxa"/>
            <w:vAlign w:val="center"/>
          </w:tcPr>
          <w:p>
            <w:pPr>
              <w:jc w:val="center"/>
              <w:rPr>
                <w:rFonts w:ascii="宋体" w:hAnsi="宋体" w:eastAsia="宋体" w:cs="宋体"/>
                <w:color w:val="auto"/>
                <w:sz w:val="20"/>
                <w:lang w:bidi="ar"/>
              </w:rPr>
            </w:pP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220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内墙乳胶漆</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平方</w:t>
            </w:r>
          </w:p>
        </w:tc>
        <w:tc>
          <w:tcPr>
            <w:tcW w:w="900"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25</w:t>
            </w:r>
          </w:p>
        </w:tc>
        <w:tc>
          <w:tcPr>
            <w:tcW w:w="1027"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5500</w:t>
            </w:r>
          </w:p>
        </w:tc>
        <w:tc>
          <w:tcPr>
            <w:tcW w:w="1108" w:type="dxa"/>
            <w:vAlign w:val="center"/>
          </w:tcPr>
          <w:p>
            <w:pPr>
              <w:widowControl/>
              <w:jc w:val="center"/>
              <w:textAlignment w:val="center"/>
              <w:rPr>
                <w:rFonts w:ascii="仿宋" w:hAnsi="仿宋" w:eastAsia="仿宋" w:cs="仿宋"/>
                <w:color w:val="auto"/>
                <w:sz w:val="28"/>
                <w:szCs w:val="28"/>
                <w:lang w:bidi="ar"/>
              </w:rPr>
            </w:pPr>
            <w:r>
              <w:rPr>
                <w:rFonts w:hint="eastAsia" w:ascii="仿宋" w:hAnsi="仿宋" w:eastAsia="仿宋" w:cs="仿宋"/>
                <w:color w:val="auto"/>
                <w:sz w:val="28"/>
                <w:szCs w:val="28"/>
                <w:lang w:bidi="ar"/>
              </w:rPr>
              <w:t>含材料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63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sz w:val="20"/>
                <w:lang w:bidi="ar"/>
              </w:rPr>
              <w:t>15</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水电维修</w:t>
            </w:r>
          </w:p>
        </w:tc>
        <w:tc>
          <w:tcPr>
            <w:tcW w:w="1502" w:type="dxa"/>
            <w:vAlign w:val="center"/>
          </w:tcPr>
          <w:p>
            <w:pPr>
              <w:jc w:val="center"/>
              <w:rPr>
                <w:rFonts w:ascii="宋体" w:hAnsi="宋体" w:eastAsia="宋体" w:cs="宋体"/>
                <w:color w:val="auto"/>
                <w:sz w:val="20"/>
                <w:lang w:bidi="ar"/>
              </w:rPr>
            </w:pP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小额维修</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项</w:t>
            </w:r>
          </w:p>
        </w:tc>
        <w:tc>
          <w:tcPr>
            <w:tcW w:w="900"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1200</w:t>
            </w:r>
          </w:p>
        </w:tc>
        <w:tc>
          <w:tcPr>
            <w:tcW w:w="1027"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1200</w:t>
            </w:r>
          </w:p>
        </w:tc>
        <w:tc>
          <w:tcPr>
            <w:tcW w:w="1108" w:type="dxa"/>
            <w:vAlign w:val="center"/>
          </w:tcPr>
          <w:p>
            <w:pPr>
              <w:widowControl/>
              <w:jc w:val="center"/>
              <w:textAlignment w:val="center"/>
              <w:rPr>
                <w:rFonts w:ascii="仿宋" w:hAnsi="仿宋" w:eastAsia="仿宋" w:cs="仿宋"/>
                <w:color w:val="auto"/>
                <w:sz w:val="28"/>
                <w:szCs w:val="28"/>
                <w:lang w:bidi="ar"/>
              </w:rPr>
            </w:pPr>
            <w:r>
              <w:rPr>
                <w:rFonts w:hint="eastAsia" w:ascii="仿宋" w:hAnsi="仿宋" w:eastAsia="仿宋" w:cs="仿宋"/>
                <w:color w:val="auto"/>
                <w:sz w:val="28"/>
                <w:szCs w:val="28"/>
                <w:lang w:bidi="ar"/>
              </w:rPr>
              <w:t>含材料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16</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sz w:val="22"/>
                <w:szCs w:val="22"/>
                <w:lang w:bidi="ar"/>
              </w:rPr>
              <w:t>试验室</w:t>
            </w:r>
            <w:r>
              <w:rPr>
                <w:rFonts w:hint="eastAsia" w:ascii="宋体" w:hAnsi="宋体" w:eastAsia="宋体" w:cs="宋体"/>
                <w:sz w:val="22"/>
                <w:szCs w:val="22"/>
                <w:lang w:bidi="ar"/>
              </w:rPr>
              <w:t>保洁服务</w:t>
            </w:r>
          </w:p>
        </w:tc>
        <w:tc>
          <w:tcPr>
            <w:tcW w:w="1502" w:type="dxa"/>
            <w:vAlign w:val="center"/>
          </w:tcPr>
          <w:p>
            <w:pPr>
              <w:jc w:val="center"/>
              <w:rPr>
                <w:rFonts w:ascii="宋体" w:hAnsi="宋体" w:eastAsia="宋体" w:cs="宋体"/>
                <w:color w:val="auto"/>
                <w:sz w:val="20"/>
                <w:lang w:bidi="ar"/>
              </w:rPr>
            </w:pPr>
          </w:p>
        </w:tc>
        <w:tc>
          <w:tcPr>
            <w:tcW w:w="735" w:type="dxa"/>
            <w:vAlign w:val="center"/>
          </w:tcPr>
          <w:p>
            <w:pPr>
              <w:jc w:val="center"/>
              <w:rPr>
                <w:rFonts w:ascii="宋体" w:hAnsi="宋体" w:eastAsia="宋体" w:cs="宋体"/>
                <w:color w:val="auto"/>
                <w:sz w:val="20"/>
                <w:lang w:bidi="ar"/>
              </w:rPr>
            </w:pPr>
            <w:r>
              <w:rPr>
                <w:rFonts w:hint="eastAsia" w:ascii="宋体" w:hAnsi="宋体" w:cs="宋体"/>
                <w:color w:val="auto"/>
                <w:sz w:val="20"/>
                <w:lang w:bidi="ar"/>
              </w:rPr>
              <w:t>1</w:t>
            </w:r>
          </w:p>
        </w:tc>
        <w:tc>
          <w:tcPr>
            <w:tcW w:w="1772" w:type="dxa"/>
            <w:vAlign w:val="center"/>
          </w:tcPr>
          <w:p>
            <w:pPr>
              <w:jc w:val="center"/>
              <w:rPr>
                <w:rFonts w:ascii="宋体" w:hAnsi="宋体" w:eastAsia="宋体" w:cs="宋体"/>
                <w:color w:val="auto"/>
                <w:kern w:val="2"/>
                <w:sz w:val="20"/>
                <w:lang w:bidi="ar"/>
              </w:rPr>
            </w:pPr>
            <w:r>
              <w:rPr>
                <w:rFonts w:hint="eastAsia" w:ascii="宋体" w:hAnsi="宋体" w:cs="宋体"/>
                <w:color w:val="auto"/>
                <w:kern w:val="2"/>
                <w:sz w:val="20"/>
                <w:lang w:bidi="ar"/>
              </w:rPr>
              <w:t>/</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项</w:t>
            </w:r>
          </w:p>
        </w:tc>
        <w:tc>
          <w:tcPr>
            <w:tcW w:w="900"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1200</w:t>
            </w:r>
          </w:p>
        </w:tc>
        <w:tc>
          <w:tcPr>
            <w:tcW w:w="1027"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1200</w:t>
            </w:r>
          </w:p>
        </w:tc>
        <w:tc>
          <w:tcPr>
            <w:tcW w:w="1108" w:type="dxa"/>
            <w:vAlign w:val="center"/>
          </w:tcPr>
          <w:p>
            <w:pPr>
              <w:widowControl/>
              <w:jc w:val="center"/>
              <w:textAlignment w:val="center"/>
              <w:rPr>
                <w:rFonts w:ascii="宋体" w:hAnsi="宋体" w:eastAsia="宋体" w:cs="宋体"/>
                <w:kern w:val="2"/>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499" w:type="dxa"/>
            <w:gridSpan w:val="5"/>
            <w:vAlign w:val="center"/>
          </w:tcPr>
          <w:p>
            <w:pPr>
              <w:jc w:val="center"/>
              <w:rPr>
                <w:rFonts w:ascii="宋体" w:hAnsi="宋体" w:eastAsia="宋体" w:cs="宋体"/>
                <w:color w:val="auto"/>
                <w:kern w:val="2"/>
                <w:sz w:val="20"/>
                <w:lang w:bidi="ar"/>
              </w:rPr>
            </w:pPr>
            <w:r>
              <w:rPr>
                <w:rFonts w:hint="eastAsia" w:ascii="宋体" w:hAnsi="宋体" w:eastAsia="宋体" w:cs="宋体"/>
                <w:bCs/>
                <w:sz w:val="28"/>
                <w:szCs w:val="28"/>
              </w:rPr>
              <w:t>控制总价（税率3%）</w:t>
            </w:r>
          </w:p>
        </w:tc>
        <w:tc>
          <w:tcPr>
            <w:tcW w:w="3764" w:type="dxa"/>
            <w:gridSpan w:val="4"/>
            <w:vAlign w:val="center"/>
          </w:tcPr>
          <w:p>
            <w:pPr>
              <w:widowControl/>
              <w:jc w:val="center"/>
              <w:textAlignment w:val="center"/>
              <w:rPr>
                <w:rFonts w:ascii="宋体" w:hAnsi="宋体" w:eastAsia="宋体" w:cs="宋体"/>
                <w:kern w:val="2"/>
                <w:sz w:val="22"/>
                <w:szCs w:val="22"/>
              </w:rPr>
            </w:pPr>
            <w:r>
              <w:rPr>
                <w:rFonts w:hint="eastAsia" w:ascii="宋体" w:hAnsi="宋体" w:cs="宋体"/>
                <w:kern w:val="2"/>
                <w:sz w:val="22"/>
                <w:szCs w:val="22"/>
              </w:rPr>
              <w:t>48328.6元</w:t>
            </w:r>
          </w:p>
        </w:tc>
      </w:tr>
    </w:tbl>
    <w:p>
      <w:pPr>
        <w:spacing w:line="560" w:lineRule="exact"/>
        <w:jc w:val="left"/>
        <w:outlineLvl w:val="2"/>
        <w:rPr>
          <w:rFonts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注：报价包含税金3%和设计、制作、运输、安装及后期维护等全部费用。</w:t>
      </w:r>
    </w:p>
    <w:p>
      <w:pPr>
        <w:spacing w:line="560" w:lineRule="exact"/>
        <w:ind w:firstLine="563" w:firstLineChars="176"/>
        <w:outlineLvl w:val="2"/>
        <w:rPr>
          <w:rFonts w:ascii="仿宋" w:hAnsi="仿宋" w:eastAsia="仿宋" w:cs="仿宋"/>
          <w:sz w:val="32"/>
          <w:szCs w:val="32"/>
        </w:rPr>
      </w:pPr>
    </w:p>
    <w:p>
      <w:pPr>
        <w:spacing w:line="560" w:lineRule="exact"/>
        <w:ind w:firstLine="630"/>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autoSpaceDE w:val="0"/>
        <w:autoSpaceDN w:val="0"/>
        <w:spacing w:line="560" w:lineRule="exact"/>
        <w:jc w:val="left"/>
        <w:rPr>
          <w:rFonts w:ascii="仿宋" w:hAnsi="仿宋" w:eastAsia="仿宋" w:cs="仿宋"/>
          <w:b/>
          <w:bCs/>
          <w:color w:val="auto"/>
          <w:sz w:val="28"/>
          <w:szCs w:val="28"/>
        </w:rPr>
        <w:sectPr>
          <w:footnotePr>
            <w:numStart w:val="0"/>
          </w:footnotePr>
          <w:endnotePr>
            <w:numFmt w:val="decimal"/>
            <w:numStart w:val="0"/>
          </w:endnotePr>
          <w:pgSz w:w="11906" w:h="16838"/>
          <w:pgMar w:top="1440" w:right="1733" w:bottom="793" w:left="1659" w:header="0" w:footer="0" w:gutter="0"/>
          <w:pgNumType w:fmt="numberInDash"/>
          <w:cols w:space="720" w:num="1"/>
        </w:sectPr>
      </w:pPr>
    </w:p>
    <w:p>
      <w:pPr>
        <w:rPr>
          <w:rFonts w:ascii="黑体" w:hAnsi="黑体" w:eastAsia="黑体" w:cs="黑体"/>
          <w:color w:val="auto"/>
          <w:sz w:val="32"/>
          <w:szCs w:val="32"/>
        </w:rPr>
      </w:pPr>
      <w:r>
        <w:rPr>
          <w:rFonts w:hint="eastAsia" w:ascii="黑体" w:hAnsi="黑体" w:eastAsia="黑体" w:cs="黑体"/>
          <w:color w:val="auto"/>
          <w:sz w:val="32"/>
          <w:szCs w:val="32"/>
        </w:rPr>
        <w:t>附件二：</w:t>
      </w:r>
    </w:p>
    <w:p>
      <w:pPr>
        <w:spacing w:line="560" w:lineRule="exact"/>
        <w:jc w:val="center"/>
        <w:outlineLvl w:val="2"/>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投标函</w:t>
      </w:r>
    </w:p>
    <w:p>
      <w:pPr>
        <w:spacing w:line="560" w:lineRule="exact"/>
        <w:jc w:val="center"/>
        <w:outlineLvl w:val="2"/>
        <w:rPr>
          <w:rFonts w:ascii="仿宋" w:hAnsi="仿宋" w:eastAsia="仿宋" w:cs="仿宋"/>
          <w:b/>
          <w:bCs/>
          <w:sz w:val="44"/>
          <w:szCs w:val="44"/>
          <w:u w:val="single"/>
        </w:rPr>
      </w:pPr>
    </w:p>
    <w:p>
      <w:pPr>
        <w:pStyle w:val="10"/>
        <w:spacing w:line="560" w:lineRule="exact"/>
        <w:rPr>
          <w:rFonts w:ascii="仿宋_GB2312" w:hAnsi="仿宋_GB2312" w:eastAsia="仿宋_GB2312" w:cs="仿宋_GB2312"/>
          <w:b/>
          <w:sz w:val="32"/>
          <w:szCs w:val="32"/>
        </w:rPr>
      </w:pPr>
      <w:r>
        <w:rPr>
          <w:rFonts w:hint="eastAsia" w:ascii="仿宋_GB2312" w:hAnsi="仿宋_GB2312" w:eastAsia="仿宋_GB2312" w:cs="仿宋_GB2312"/>
          <w:b/>
          <w:sz w:val="32"/>
          <w:szCs w:val="32"/>
        </w:rPr>
        <w:t>致：</w:t>
      </w:r>
      <w:r>
        <w:rPr>
          <w:rFonts w:hint="eastAsia" w:ascii="仿宋_GB2312" w:hAnsi="仿宋_GB2312" w:eastAsia="仿宋_GB2312" w:cs="仿宋_GB2312"/>
          <w:sz w:val="32"/>
          <w:szCs w:val="32"/>
          <w:shd w:val="clear" w:color="auto" w:fill="FFFFFF"/>
        </w:rPr>
        <w:t>合肥交通投资控股有限公司</w:t>
      </w:r>
    </w:p>
    <w:p>
      <w:pPr>
        <w:widowControl/>
        <w:spacing w:line="56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根据贵方“</w:t>
      </w:r>
      <w:r>
        <w:rPr>
          <w:rFonts w:hint="eastAsia" w:ascii="仿宋_GB2312" w:hAnsi="仿宋_GB2312" w:eastAsia="仿宋_GB2312" w:cs="仿宋_GB2312"/>
          <w:b/>
          <w:bCs/>
          <w:kern w:val="2"/>
          <w:sz w:val="32"/>
          <w:szCs w:val="32"/>
          <w:u w:val="single"/>
        </w:rPr>
        <w:t>合肥诚达交通工程技术服务有限公司院内背景文化墙制作及各试验室内外部整修（二次招标）</w:t>
      </w:r>
      <w:r>
        <w:rPr>
          <w:rFonts w:hint="eastAsia" w:ascii="仿宋_GB2312" w:hAnsi="仿宋_GB2312" w:eastAsia="仿宋_GB2312" w:cs="仿宋_GB2312"/>
          <w:sz w:val="32"/>
          <w:szCs w:val="32"/>
        </w:rPr>
        <w:t>”的招标文件，我方已详细审查全部招标文件和有关附件，据此我方郑重声明以下诸点，并对之负相应的法律责任。</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1、我方根据招标文件的规定，严格履行合同的责任和义务，并保证于招标方要求的日期内完成服务，并确保运输至指定地点。</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2、我方已详细审核全部招标文件，我方知道必须放弃提出含糊不清或误解的问题的权利。</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3、我方同意从招标人投标前须知规定的招标日期起遵循本响应文件，并在投标人须知规定的投标有效期之前均具有约束力。</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4、如果在开标后规定的招标有效期内撤回投标，我方愿意赔偿由此给招标人造成的相关一切损失。</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5、同意向贵方提供贵方可能另外要求的与其报价有关的任何证据或资料。</w:t>
      </w:r>
    </w:p>
    <w:p>
      <w:pPr>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6、我方完全理解贵方不一定最终接受我方报价。</w:t>
      </w:r>
    </w:p>
    <w:p>
      <w:pPr>
        <w:spacing w:line="560" w:lineRule="exact"/>
        <w:rPr>
          <w:rFonts w:ascii="仿宋_GB2312" w:hAnsi="仿宋_GB2312" w:eastAsia="仿宋_GB2312" w:cs="仿宋_GB2312"/>
          <w:sz w:val="32"/>
          <w:szCs w:val="32"/>
        </w:rPr>
      </w:pPr>
    </w:p>
    <w:p>
      <w:pPr>
        <w:spacing w:line="560" w:lineRule="exact"/>
        <w:ind w:firstLine="630"/>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投标人单位：      （公章）</w:t>
      </w:r>
    </w:p>
    <w:p>
      <w:pPr>
        <w:spacing w:line="560" w:lineRule="exact"/>
        <w:ind w:firstLine="630"/>
        <w:jc w:val="center"/>
        <w:rPr>
          <w:rFonts w:ascii="仿宋" w:hAnsi="仿宋" w:eastAsia="仿宋" w:cs="仿宋"/>
          <w:sz w:val="28"/>
          <w:szCs w:val="28"/>
        </w:rPr>
      </w:pPr>
      <w:r>
        <w:rPr>
          <w:rFonts w:hint="eastAsia" w:ascii="仿宋_GB2312" w:hAnsi="仿宋_GB2312" w:eastAsia="仿宋_GB2312" w:cs="仿宋_GB2312"/>
          <w:sz w:val="32"/>
          <w:szCs w:val="32"/>
        </w:rPr>
        <w:t xml:space="preserve">                日    期：</w:t>
      </w:r>
      <w:r>
        <w:rPr>
          <w:rFonts w:hint="eastAsia" w:ascii="仿宋" w:hAnsi="仿宋" w:eastAsia="仿宋" w:cs="仿宋"/>
          <w:sz w:val="28"/>
          <w:szCs w:val="28"/>
        </w:rPr>
        <w:t xml:space="preserve">  </w:t>
      </w:r>
    </w:p>
    <w:p>
      <w:pPr>
        <w:autoSpaceDE w:val="0"/>
        <w:autoSpaceDN w:val="0"/>
        <w:spacing w:line="560" w:lineRule="exact"/>
        <w:jc w:val="left"/>
        <w:rPr>
          <w:rFonts w:ascii="仿宋" w:hAnsi="仿宋" w:eastAsia="仿宋" w:cs="仿宋"/>
          <w:b/>
          <w:bCs/>
          <w:color w:val="auto"/>
          <w:sz w:val="28"/>
          <w:szCs w:val="28"/>
        </w:rPr>
        <w:sectPr>
          <w:footnotePr>
            <w:numStart w:val="0"/>
          </w:footnotePr>
          <w:endnotePr>
            <w:numFmt w:val="decimal"/>
            <w:numStart w:val="0"/>
          </w:endnotePr>
          <w:pgSz w:w="11906" w:h="16838"/>
          <w:pgMar w:top="1440" w:right="1733" w:bottom="793" w:left="1659" w:header="0" w:footer="0" w:gutter="0"/>
          <w:pgNumType w:fmt="numberInDash"/>
          <w:cols w:space="720" w:num="1"/>
        </w:sectPr>
      </w:pPr>
    </w:p>
    <w:p>
      <w:pPr>
        <w:autoSpaceDE w:val="0"/>
        <w:autoSpaceDN w:val="0"/>
        <w:snapToGrid w:val="0"/>
        <w:spacing w:line="520" w:lineRule="exact"/>
        <w:jc w:val="left"/>
        <w:outlineLvl w:val="1"/>
        <w:rPr>
          <w:rFonts w:ascii="黑体" w:hAnsi="黑体" w:eastAsia="黑体" w:cs="黑体"/>
          <w:color w:val="auto"/>
          <w:sz w:val="32"/>
          <w:szCs w:val="32"/>
        </w:rPr>
      </w:pPr>
      <w:r>
        <w:rPr>
          <w:rFonts w:hint="eastAsia" w:ascii="黑体" w:hAnsi="黑体" w:eastAsia="黑体" w:cs="黑体"/>
          <w:color w:val="auto"/>
          <w:sz w:val="32"/>
          <w:szCs w:val="32"/>
        </w:rPr>
        <w:t>附件三：</w:t>
      </w:r>
    </w:p>
    <w:p>
      <w:pPr>
        <w:spacing w:line="560" w:lineRule="exact"/>
        <w:jc w:val="center"/>
        <w:outlineLvl w:val="2"/>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法人代表授权书</w:t>
      </w:r>
    </w:p>
    <w:p>
      <w:pPr>
        <w:pStyle w:val="9"/>
        <w:spacing w:line="56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本授权书声明：               </w:t>
      </w:r>
    </w:p>
    <w:p>
      <w:pPr>
        <w:pStyle w:val="9"/>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公司授权（被授权人的姓名）为本公司的合法代理人，参加</w:t>
      </w:r>
      <w:r>
        <w:rPr>
          <w:rFonts w:hint="eastAsia" w:ascii="仿宋_GB2312" w:hAnsi="仿宋_GB2312" w:eastAsia="仿宋_GB2312" w:cs="仿宋_GB2312"/>
          <w:b/>
          <w:bCs/>
          <w:sz w:val="32"/>
          <w:szCs w:val="32"/>
          <w:shd w:val="clear" w:color="auto" w:fill="FFFFFF"/>
        </w:rPr>
        <w:t>合肥交通投资控股有限公司</w:t>
      </w:r>
      <w:r>
        <w:rPr>
          <w:rFonts w:hint="eastAsia" w:ascii="仿宋_GB2312" w:hAnsi="仿宋_GB2312" w:eastAsia="仿宋_GB2312" w:cs="仿宋_GB2312"/>
          <w:sz w:val="32"/>
          <w:szCs w:val="32"/>
        </w:rPr>
        <w:t>的“</w:t>
      </w:r>
      <w:r>
        <w:rPr>
          <w:rFonts w:hint="eastAsia" w:ascii="仿宋_GB2312" w:hAnsi="仿宋_GB2312" w:eastAsia="仿宋_GB2312" w:cs="仿宋_GB2312"/>
          <w:b/>
          <w:bCs/>
          <w:kern w:val="2"/>
          <w:sz w:val="32"/>
          <w:szCs w:val="32"/>
          <w:u w:val="single"/>
        </w:rPr>
        <w:t>合肥诚达交通工程技术服务有限公司院内背景文化墙制作及各试验室内外部整修（二次招标）</w:t>
      </w:r>
      <w:r>
        <w:rPr>
          <w:rFonts w:hint="eastAsia" w:ascii="仿宋_GB2312" w:hAnsi="仿宋_GB2312" w:eastAsia="仿宋_GB2312" w:cs="仿宋_GB2312"/>
          <w:sz w:val="32"/>
          <w:szCs w:val="32"/>
        </w:rPr>
        <w:t>”项目的招标活动。全权代表本公司处理投标过程的一切事宜，包括但不限于：投标、参与开标、招标、签约等。投标人代表在投标过程中所签署的一切文件和处理与之有关的一切事务，本公司均予以认可并对此承担责任。投标人代表无转委托权。</w:t>
      </w:r>
    </w:p>
    <w:p>
      <w:pPr>
        <w:pStyle w:val="9"/>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本授权书自出具之日起生效。</w:t>
      </w:r>
    </w:p>
    <w:p>
      <w:pPr>
        <w:pStyle w:val="9"/>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特此声明。</w:t>
      </w: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被授权人（签字）：          性别：      身份证号：</w:t>
      </w:r>
    </w:p>
    <w:p>
      <w:pPr>
        <w:spacing w:line="560" w:lineRule="exact"/>
        <w:rPr>
          <w:rFonts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法定代表人（签字）：</w:t>
      </w:r>
    </w:p>
    <w:p>
      <w:pPr>
        <w:spacing w:line="560" w:lineRule="exact"/>
        <w:ind w:firstLine="5280" w:firstLineChars="1650"/>
        <w:rPr>
          <w:rFonts w:ascii="仿宋_GB2312" w:hAnsi="仿宋_GB2312" w:eastAsia="仿宋_GB2312" w:cs="仿宋_GB2312"/>
          <w:sz w:val="32"/>
          <w:szCs w:val="32"/>
        </w:rPr>
      </w:pPr>
    </w:p>
    <w:p>
      <w:pPr>
        <w:spacing w:line="560" w:lineRule="exact"/>
        <w:rPr>
          <w:rFonts w:ascii="仿宋_GB2312" w:hAnsi="仿宋_GB2312" w:eastAsia="仿宋_GB2312" w:cs="仿宋_GB2312"/>
          <w:color w:val="C00000"/>
          <w:sz w:val="32"/>
          <w:szCs w:val="32"/>
        </w:rPr>
      </w:pPr>
      <w:r>
        <w:rPr>
          <w:rFonts w:hint="eastAsia" w:ascii="仿宋_GB2312" w:hAnsi="仿宋_GB2312" w:eastAsia="仿宋_GB2312" w:cs="仿宋_GB2312"/>
          <w:sz w:val="32"/>
          <w:szCs w:val="32"/>
        </w:rPr>
        <w:t>授权单位（公章）：          日     期：</w:t>
      </w:r>
    </w:p>
    <w:p>
      <w:pPr>
        <w:autoSpaceDE w:val="0"/>
        <w:autoSpaceDN w:val="0"/>
        <w:spacing w:line="560" w:lineRule="exact"/>
        <w:jc w:val="left"/>
        <w:rPr>
          <w:rFonts w:ascii="仿宋" w:hAnsi="仿宋" w:eastAsia="仿宋" w:cs="仿宋"/>
          <w:b/>
          <w:bCs/>
          <w:color w:val="auto"/>
          <w:sz w:val="28"/>
          <w:szCs w:val="28"/>
        </w:rPr>
        <w:sectPr>
          <w:footnotePr>
            <w:numStart w:val="0"/>
          </w:footnotePr>
          <w:endnotePr>
            <w:numFmt w:val="decimal"/>
            <w:numStart w:val="0"/>
          </w:endnotePr>
          <w:pgSz w:w="11906" w:h="16838"/>
          <w:pgMar w:top="1440" w:right="1733" w:bottom="793" w:left="1659" w:header="0" w:footer="0" w:gutter="0"/>
          <w:pgNumType w:fmt="numberInDash"/>
          <w:cols w:space="720" w:num="1"/>
        </w:sectPr>
      </w:pPr>
    </w:p>
    <w:p>
      <w:pPr>
        <w:autoSpaceDE w:val="0"/>
        <w:autoSpaceDN w:val="0"/>
        <w:snapToGrid w:val="0"/>
        <w:spacing w:line="520" w:lineRule="exact"/>
        <w:jc w:val="left"/>
        <w:outlineLvl w:val="1"/>
        <w:rPr>
          <w:rFonts w:ascii="黑体" w:hAnsi="黑体" w:eastAsia="黑体" w:cs="黑体"/>
          <w:color w:val="auto"/>
          <w:sz w:val="32"/>
          <w:szCs w:val="32"/>
        </w:rPr>
      </w:pPr>
      <w:r>
        <w:rPr>
          <w:rFonts w:hint="eastAsia" w:ascii="黑体" w:hAnsi="黑体" w:eastAsia="黑体" w:cs="黑体"/>
          <w:color w:val="auto"/>
          <w:sz w:val="32"/>
          <w:szCs w:val="32"/>
        </w:rPr>
        <w:t>附件四：</w:t>
      </w:r>
    </w:p>
    <w:p>
      <w:pPr>
        <w:autoSpaceDE w:val="0"/>
        <w:autoSpaceDN w:val="0"/>
        <w:snapToGrid w:val="0"/>
        <w:spacing w:line="520" w:lineRule="exact"/>
        <w:outlineLvl w:val="1"/>
        <w:rPr>
          <w:rFonts w:ascii="方正小标宋简体" w:hAnsi="方正小标宋简体" w:eastAsia="方正小标宋简体" w:cs="方正小标宋简体"/>
          <w:bCs/>
          <w:sz w:val="44"/>
          <w:szCs w:val="44"/>
        </w:rPr>
      </w:pPr>
    </w:p>
    <w:p>
      <w:pPr>
        <w:autoSpaceDE w:val="0"/>
        <w:autoSpaceDN w:val="0"/>
        <w:snapToGrid w:val="0"/>
        <w:spacing w:line="520" w:lineRule="exact"/>
        <w:jc w:val="center"/>
        <w:outlineLvl w:val="1"/>
        <w:rPr>
          <w:rFonts w:ascii="方正小标宋简体" w:hAnsi="方正小标宋简体" w:eastAsia="方正小标宋简体" w:cs="方正小标宋简体"/>
          <w:bCs/>
          <w:sz w:val="48"/>
          <w:szCs w:val="48"/>
        </w:rPr>
      </w:pPr>
      <w:r>
        <w:rPr>
          <w:rFonts w:hint="eastAsia" w:ascii="方正小标宋简体" w:hAnsi="方正小标宋简体" w:eastAsia="方正小标宋简体" w:cs="方正小标宋简体"/>
          <w:bCs/>
          <w:sz w:val="48"/>
          <w:szCs w:val="48"/>
        </w:rPr>
        <w:t>投标报价清单</w:t>
      </w:r>
    </w:p>
    <w:p>
      <w:pPr>
        <w:pStyle w:val="2"/>
        <w:ind w:firstLine="0" w:firstLineChars="0"/>
      </w:pPr>
    </w:p>
    <w:p/>
    <w:p>
      <w:pPr>
        <w:pStyle w:val="2"/>
        <w:ind w:firstLine="560"/>
      </w:pPr>
    </w:p>
    <w:tbl>
      <w:tblPr>
        <w:tblStyle w:val="17"/>
        <w:tblpPr w:leftFromText="180" w:rightFromText="180" w:vertAnchor="text" w:horzAnchor="page" w:tblpXSpec="center" w:tblpY="173"/>
        <w:tblOverlap w:val="never"/>
        <w:tblW w:w="102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2"/>
        <w:gridCol w:w="1858"/>
        <w:gridCol w:w="1502"/>
        <w:gridCol w:w="735"/>
        <w:gridCol w:w="1772"/>
        <w:gridCol w:w="729"/>
        <w:gridCol w:w="900"/>
        <w:gridCol w:w="1027"/>
        <w:gridCol w:w="1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32" w:type="dxa"/>
            <w:vAlign w:val="center"/>
          </w:tcPr>
          <w:p>
            <w:pPr>
              <w:spacing w:line="0" w:lineRule="atLeast"/>
              <w:jc w:val="center"/>
              <w:rPr>
                <w:rFonts w:eastAsia="宋体"/>
                <w:b/>
                <w:bCs/>
                <w:sz w:val="20"/>
              </w:rPr>
            </w:pPr>
            <w:r>
              <w:rPr>
                <w:rFonts w:hint="eastAsia" w:eastAsia="宋体"/>
                <w:b/>
                <w:bCs/>
                <w:sz w:val="20"/>
              </w:rPr>
              <w:t>序号</w:t>
            </w:r>
          </w:p>
        </w:tc>
        <w:tc>
          <w:tcPr>
            <w:tcW w:w="1858" w:type="dxa"/>
            <w:vAlign w:val="center"/>
          </w:tcPr>
          <w:p>
            <w:pPr>
              <w:spacing w:line="0" w:lineRule="atLeast"/>
              <w:jc w:val="center"/>
              <w:rPr>
                <w:rFonts w:eastAsia="宋体"/>
                <w:b/>
                <w:bCs/>
                <w:sz w:val="20"/>
              </w:rPr>
            </w:pPr>
            <w:r>
              <w:rPr>
                <w:rFonts w:hint="eastAsia" w:eastAsia="宋体"/>
                <w:b/>
                <w:bCs/>
                <w:sz w:val="20"/>
              </w:rPr>
              <w:t>名称</w:t>
            </w:r>
          </w:p>
        </w:tc>
        <w:tc>
          <w:tcPr>
            <w:tcW w:w="1502" w:type="dxa"/>
            <w:vAlign w:val="center"/>
          </w:tcPr>
          <w:p>
            <w:pPr>
              <w:spacing w:line="0" w:lineRule="atLeast"/>
              <w:jc w:val="center"/>
              <w:rPr>
                <w:rFonts w:eastAsia="宋体"/>
                <w:b/>
                <w:bCs/>
                <w:sz w:val="20"/>
              </w:rPr>
            </w:pPr>
            <w:r>
              <w:rPr>
                <w:rFonts w:hint="eastAsia" w:eastAsia="宋体"/>
                <w:b/>
                <w:bCs/>
                <w:sz w:val="20"/>
              </w:rPr>
              <w:t>规格型号</w:t>
            </w:r>
          </w:p>
        </w:tc>
        <w:tc>
          <w:tcPr>
            <w:tcW w:w="735" w:type="dxa"/>
            <w:vAlign w:val="center"/>
          </w:tcPr>
          <w:p>
            <w:pPr>
              <w:spacing w:line="0" w:lineRule="atLeast"/>
              <w:jc w:val="center"/>
              <w:rPr>
                <w:rFonts w:eastAsia="宋体"/>
                <w:b/>
                <w:bCs/>
                <w:sz w:val="20"/>
              </w:rPr>
            </w:pPr>
            <w:r>
              <w:rPr>
                <w:rFonts w:hint="eastAsia" w:eastAsia="宋体"/>
                <w:b/>
                <w:bCs/>
                <w:sz w:val="20"/>
              </w:rPr>
              <w:t>预估</w:t>
            </w:r>
          </w:p>
          <w:p>
            <w:pPr>
              <w:spacing w:line="0" w:lineRule="atLeast"/>
              <w:jc w:val="center"/>
              <w:rPr>
                <w:rFonts w:eastAsia="宋体"/>
                <w:b/>
                <w:bCs/>
                <w:sz w:val="20"/>
              </w:rPr>
            </w:pPr>
            <w:r>
              <w:rPr>
                <w:rFonts w:hint="eastAsia" w:eastAsia="宋体"/>
                <w:b/>
                <w:bCs/>
                <w:sz w:val="20"/>
              </w:rPr>
              <w:t>数量</w:t>
            </w:r>
          </w:p>
        </w:tc>
        <w:tc>
          <w:tcPr>
            <w:tcW w:w="1772" w:type="dxa"/>
            <w:vAlign w:val="center"/>
          </w:tcPr>
          <w:p>
            <w:pPr>
              <w:spacing w:line="0" w:lineRule="atLeast"/>
              <w:jc w:val="center"/>
              <w:rPr>
                <w:rFonts w:eastAsia="宋体"/>
                <w:b/>
                <w:bCs/>
                <w:sz w:val="20"/>
              </w:rPr>
            </w:pPr>
            <w:r>
              <w:rPr>
                <w:rFonts w:hint="eastAsia" w:eastAsia="宋体"/>
                <w:b/>
                <w:bCs/>
                <w:sz w:val="20"/>
              </w:rPr>
              <w:t>材质</w:t>
            </w:r>
          </w:p>
        </w:tc>
        <w:tc>
          <w:tcPr>
            <w:tcW w:w="729" w:type="dxa"/>
            <w:vAlign w:val="center"/>
          </w:tcPr>
          <w:p>
            <w:pPr>
              <w:spacing w:line="0" w:lineRule="atLeast"/>
              <w:jc w:val="center"/>
              <w:rPr>
                <w:rFonts w:eastAsia="宋体"/>
                <w:b/>
                <w:bCs/>
                <w:sz w:val="20"/>
              </w:rPr>
            </w:pPr>
            <w:r>
              <w:rPr>
                <w:rFonts w:hint="eastAsia" w:eastAsia="宋体"/>
                <w:b/>
                <w:bCs/>
                <w:sz w:val="20"/>
              </w:rPr>
              <w:t>计量单位</w:t>
            </w:r>
          </w:p>
        </w:tc>
        <w:tc>
          <w:tcPr>
            <w:tcW w:w="900" w:type="dxa"/>
            <w:vAlign w:val="center"/>
          </w:tcPr>
          <w:p>
            <w:pPr>
              <w:spacing w:line="0" w:lineRule="atLeast"/>
              <w:jc w:val="center"/>
              <w:rPr>
                <w:rFonts w:eastAsia="宋体"/>
                <w:b/>
                <w:bCs/>
                <w:sz w:val="20"/>
              </w:rPr>
            </w:pPr>
            <w:r>
              <w:rPr>
                <w:rFonts w:hint="eastAsia" w:eastAsia="宋体"/>
                <w:b/>
                <w:bCs/>
                <w:sz w:val="20"/>
              </w:rPr>
              <w:t>控制单价（元）</w:t>
            </w:r>
          </w:p>
        </w:tc>
        <w:tc>
          <w:tcPr>
            <w:tcW w:w="1027" w:type="dxa"/>
            <w:vAlign w:val="center"/>
          </w:tcPr>
          <w:p>
            <w:pPr>
              <w:spacing w:line="0" w:lineRule="atLeast"/>
              <w:jc w:val="center"/>
              <w:rPr>
                <w:rFonts w:eastAsia="宋体"/>
                <w:b/>
                <w:bCs/>
                <w:sz w:val="20"/>
              </w:rPr>
            </w:pPr>
            <w:r>
              <w:rPr>
                <w:rFonts w:hint="eastAsia" w:eastAsia="宋体"/>
                <w:b/>
                <w:bCs/>
                <w:sz w:val="20"/>
              </w:rPr>
              <w:t>控制总价（元）</w:t>
            </w:r>
          </w:p>
        </w:tc>
        <w:tc>
          <w:tcPr>
            <w:tcW w:w="1108" w:type="dxa"/>
            <w:vAlign w:val="center"/>
          </w:tcPr>
          <w:p>
            <w:pPr>
              <w:spacing w:line="0" w:lineRule="atLeast"/>
              <w:jc w:val="center"/>
              <w:rPr>
                <w:rFonts w:eastAsia="宋体"/>
                <w:b/>
                <w:bCs/>
                <w:kern w:val="2"/>
                <w:sz w:val="20"/>
              </w:rPr>
            </w:pPr>
            <w:r>
              <w:rPr>
                <w:rFonts w:hint="eastAsia" w:eastAsia="宋体"/>
                <w:b/>
                <w:bCs/>
                <w:sz w:val="2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1</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eastAsia="宋体" w:cs="宋体"/>
                <w:sz w:val="22"/>
                <w:szCs w:val="22"/>
                <w:lang w:bidi="ar"/>
              </w:rPr>
              <w:t>一楼大厅两处企业文化背景墙</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4.5m*2.7m*2</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24.3</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喷绘+铁字喷漆</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平方</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sz w:val="20"/>
                <w:lang w:bidi="ar"/>
              </w:rPr>
              <w:t>90</w:t>
            </w:r>
          </w:p>
        </w:tc>
        <w:tc>
          <w:tcPr>
            <w:tcW w:w="1027"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2187</w:t>
            </w:r>
          </w:p>
        </w:tc>
        <w:tc>
          <w:tcPr>
            <w:tcW w:w="1108" w:type="dxa"/>
            <w:vAlign w:val="center"/>
          </w:tcPr>
          <w:p>
            <w:pPr>
              <w:widowControl/>
              <w:jc w:val="center"/>
              <w:textAlignment w:val="center"/>
              <w:rPr>
                <w:rFonts w:ascii="宋体" w:hAnsi="宋体" w:eastAsia="宋体" w:cs="宋体"/>
                <w:kern w:val="2"/>
                <w:sz w:val="22"/>
                <w:szCs w:val="22"/>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2</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eastAsia="宋体" w:cs="宋体"/>
                <w:sz w:val="22"/>
                <w:szCs w:val="22"/>
                <w:lang w:bidi="ar"/>
              </w:rPr>
              <w:t>楼梯道企业文化</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40cm*90cm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sz w:val="22"/>
                <w:szCs w:val="22"/>
                <w:lang w:bidi="ar"/>
              </w:rPr>
              <w:t>20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KT板+包边</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sz w:val="20"/>
                <w:lang w:bidi="ar"/>
              </w:rPr>
              <w:t>48</w:t>
            </w:r>
          </w:p>
        </w:tc>
        <w:tc>
          <w:tcPr>
            <w:tcW w:w="1027"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960</w:t>
            </w:r>
          </w:p>
        </w:tc>
        <w:tc>
          <w:tcPr>
            <w:tcW w:w="1108"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3</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eastAsia="宋体" w:cs="宋体"/>
                <w:sz w:val="22"/>
                <w:szCs w:val="22"/>
                <w:lang w:bidi="ar"/>
              </w:rPr>
              <w:t>一楼大厅主背景墙</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3.5x2.6</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9.1</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亚克力+PVC+雕刻</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平方</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sz w:val="20"/>
                <w:lang w:bidi="ar"/>
              </w:rPr>
              <w:t>120</w:t>
            </w:r>
          </w:p>
        </w:tc>
        <w:tc>
          <w:tcPr>
            <w:tcW w:w="1027"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1092</w:t>
            </w:r>
          </w:p>
        </w:tc>
        <w:tc>
          <w:tcPr>
            <w:tcW w:w="1108"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4</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eastAsia="宋体" w:cs="宋体"/>
                <w:sz w:val="22"/>
                <w:szCs w:val="22"/>
                <w:lang w:bidi="ar"/>
              </w:rPr>
              <w:t>科室牌</w:t>
            </w:r>
          </w:p>
        </w:tc>
        <w:tc>
          <w:tcPr>
            <w:tcW w:w="1502" w:type="dxa"/>
            <w:vAlign w:val="center"/>
          </w:tcPr>
          <w:p>
            <w:pPr>
              <w:jc w:val="center"/>
              <w:rPr>
                <w:rFonts w:ascii="宋体" w:hAnsi="宋体" w:eastAsia="宋体" w:cs="宋体"/>
                <w:color w:val="auto"/>
                <w:sz w:val="20"/>
                <w:lang w:bidi="ar"/>
              </w:rPr>
            </w:pP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亚克力</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块</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sz w:val="20"/>
                <w:lang w:bidi="ar"/>
              </w:rPr>
              <w:t>35</w:t>
            </w:r>
          </w:p>
        </w:tc>
        <w:tc>
          <w:tcPr>
            <w:tcW w:w="1027"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700</w:t>
            </w:r>
          </w:p>
        </w:tc>
        <w:tc>
          <w:tcPr>
            <w:tcW w:w="1108" w:type="dxa"/>
            <w:vAlign w:val="center"/>
          </w:tcPr>
          <w:p>
            <w:pPr>
              <w:widowControl/>
              <w:jc w:val="center"/>
              <w:textAlignment w:val="center"/>
              <w:rPr>
                <w:rFonts w:ascii="宋体" w:hAnsi="宋体" w:eastAsia="宋体" w:cs="宋体"/>
                <w:kern w:val="2"/>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5</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cs="宋体"/>
                <w:sz w:val="22"/>
                <w:szCs w:val="22"/>
                <w:lang w:bidi="ar"/>
              </w:rPr>
              <w:t>试验室</w:t>
            </w:r>
            <w:r>
              <w:rPr>
                <w:rFonts w:hint="eastAsia" w:ascii="宋体" w:hAnsi="宋体" w:eastAsia="宋体" w:cs="宋体"/>
                <w:sz w:val="22"/>
                <w:szCs w:val="22"/>
                <w:lang w:bidi="ar"/>
              </w:rPr>
              <w:t>制度牌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40x60</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200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KT板</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块</w:t>
            </w:r>
          </w:p>
        </w:tc>
        <w:tc>
          <w:tcPr>
            <w:tcW w:w="900"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45</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9000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6</w:t>
            </w:r>
          </w:p>
        </w:tc>
        <w:tc>
          <w:tcPr>
            <w:tcW w:w="1858" w:type="dxa"/>
            <w:vAlign w:val="center"/>
          </w:tcPr>
          <w:p>
            <w:pPr>
              <w:widowControl/>
              <w:jc w:val="center"/>
              <w:textAlignment w:val="center"/>
              <w:rPr>
                <w:rFonts w:ascii="宋体" w:hAnsi="宋体" w:eastAsia="宋体" w:cs="宋体"/>
                <w:kern w:val="2"/>
                <w:sz w:val="21"/>
                <w:szCs w:val="21"/>
              </w:rPr>
            </w:pPr>
            <w:r>
              <w:rPr>
                <w:rFonts w:hint="eastAsia" w:ascii="宋体" w:hAnsi="宋体" w:cs="宋体"/>
                <w:sz w:val="22"/>
                <w:szCs w:val="22"/>
                <w:lang w:bidi="ar"/>
              </w:rPr>
              <w:t>试验室</w:t>
            </w:r>
            <w:r>
              <w:rPr>
                <w:rFonts w:hint="eastAsia" w:ascii="宋体" w:hAnsi="宋体" w:eastAsia="宋体" w:cs="宋体"/>
                <w:sz w:val="22"/>
                <w:szCs w:val="22"/>
                <w:lang w:bidi="ar"/>
              </w:rPr>
              <w:t>制度牌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44x70</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40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4cm铝合金框架</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45</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1800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kern w:val="2"/>
                <w:sz w:val="22"/>
                <w:szCs w:val="22"/>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7</w:t>
            </w:r>
          </w:p>
        </w:tc>
        <w:tc>
          <w:tcPr>
            <w:tcW w:w="1858" w:type="dxa"/>
            <w:vAlign w:val="center"/>
          </w:tcPr>
          <w:p>
            <w:pPr>
              <w:widowControl/>
              <w:jc w:val="center"/>
              <w:textAlignment w:val="center"/>
              <w:rPr>
                <w:rFonts w:eastAsia="宋体"/>
                <w:kern w:val="2"/>
                <w:sz w:val="21"/>
                <w:szCs w:val="21"/>
              </w:rPr>
            </w:pPr>
            <w:r>
              <w:rPr>
                <w:rFonts w:hint="eastAsia" w:ascii="宋体" w:hAnsi="宋体" w:cs="宋体"/>
                <w:sz w:val="22"/>
                <w:szCs w:val="22"/>
                <w:lang w:bidi="ar"/>
              </w:rPr>
              <w:t>试验室</w:t>
            </w:r>
            <w:r>
              <w:rPr>
                <w:rFonts w:hint="eastAsia" w:ascii="宋体" w:hAnsi="宋体" w:eastAsia="宋体" w:cs="宋体"/>
                <w:sz w:val="22"/>
                <w:szCs w:val="22"/>
                <w:lang w:bidi="ar"/>
              </w:rPr>
              <w:t>门牌更换名称</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可移车贴</w:t>
            </w:r>
          </w:p>
        </w:tc>
        <w:tc>
          <w:tcPr>
            <w:tcW w:w="735" w:type="dxa"/>
            <w:vAlign w:val="center"/>
          </w:tcPr>
          <w:p>
            <w:pPr>
              <w:jc w:val="center"/>
              <w:rPr>
                <w:rFonts w:ascii="宋体" w:hAnsi="宋体" w:eastAsia="宋体" w:cs="宋体"/>
                <w:color w:val="auto"/>
                <w:sz w:val="20"/>
                <w:lang w:bidi="ar"/>
              </w:rPr>
            </w:pPr>
            <w:r>
              <w:rPr>
                <w:rFonts w:hint="eastAsia" w:ascii="宋体" w:hAnsi="宋体" w:cs="宋体"/>
                <w:color w:val="auto"/>
                <w:sz w:val="20"/>
                <w:lang w:bidi="ar"/>
              </w:rPr>
              <w:t>20</w:t>
            </w:r>
          </w:p>
        </w:tc>
        <w:tc>
          <w:tcPr>
            <w:tcW w:w="1772" w:type="dxa"/>
            <w:vAlign w:val="center"/>
          </w:tcPr>
          <w:p>
            <w:pPr>
              <w:jc w:val="center"/>
              <w:rPr>
                <w:rFonts w:ascii="宋体" w:hAnsi="宋体" w:eastAsia="宋体" w:cs="宋体"/>
                <w:color w:val="auto"/>
                <w:kern w:val="2"/>
                <w:sz w:val="20"/>
                <w:lang w:bidi="ar"/>
              </w:rPr>
            </w:pPr>
            <w:r>
              <w:rPr>
                <w:rFonts w:hint="eastAsia" w:ascii="宋体" w:hAnsi="宋体" w:eastAsia="宋体" w:cs="宋体"/>
                <w:sz w:val="22"/>
                <w:szCs w:val="22"/>
                <w:lang w:bidi="ar"/>
              </w:rPr>
              <w:t>车贴</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8</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160</w:t>
            </w:r>
          </w:p>
        </w:tc>
        <w:tc>
          <w:tcPr>
            <w:tcW w:w="1108" w:type="dxa"/>
            <w:vAlign w:val="center"/>
          </w:tcPr>
          <w:p>
            <w:pPr>
              <w:widowControl/>
              <w:jc w:val="center"/>
              <w:textAlignment w:val="center"/>
              <w:rPr>
                <w:rFonts w:ascii="宋体" w:hAnsi="宋体" w:eastAsia="宋体" w:cs="宋体"/>
                <w:color w:val="auto"/>
                <w:sz w:val="20"/>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8</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大院区别单位门楼</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5.5m*5.5m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钢架+喷绘</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cs="宋体"/>
                <w:color w:val="auto"/>
                <w:kern w:val="2"/>
                <w:sz w:val="20"/>
                <w:lang w:bidi="ar"/>
              </w:rPr>
              <w:t>6500</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6500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需要入地固定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9</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sz w:val="22"/>
                <w:szCs w:val="22"/>
                <w:lang w:bidi="ar"/>
              </w:rPr>
              <w:t>试验室</w:t>
            </w:r>
            <w:r>
              <w:rPr>
                <w:rFonts w:hint="eastAsia" w:ascii="宋体" w:hAnsi="宋体" w:eastAsia="宋体" w:cs="宋体"/>
                <w:sz w:val="22"/>
                <w:szCs w:val="22"/>
                <w:lang w:bidi="ar"/>
              </w:rPr>
              <w:t>主楼做项目名称广告牌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7.15mx0.8m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5.72</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钢架+喷绘+LOGO</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平方</w:t>
            </w:r>
          </w:p>
        </w:tc>
        <w:tc>
          <w:tcPr>
            <w:tcW w:w="900"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kern w:val="2"/>
                <w:sz w:val="20"/>
                <w:lang w:bidi="ar"/>
              </w:rPr>
              <w:t>180</w:t>
            </w:r>
          </w:p>
        </w:tc>
        <w:tc>
          <w:tcPr>
            <w:tcW w:w="1027" w:type="dxa"/>
            <w:vAlign w:val="center"/>
          </w:tcPr>
          <w:p>
            <w:pPr>
              <w:pStyle w:val="2"/>
              <w:ind w:firstLine="0" w:firstLineChars="0"/>
              <w:jc w:val="center"/>
              <w:rPr>
                <w:sz w:val="21"/>
                <w:szCs w:val="22"/>
              </w:rPr>
            </w:pPr>
            <w:r>
              <w:rPr>
                <w:rFonts w:hint="eastAsia"/>
                <w:sz w:val="21"/>
                <w:szCs w:val="22"/>
              </w:rPr>
              <w:t>1029.6</w:t>
            </w:r>
          </w:p>
        </w:tc>
        <w:tc>
          <w:tcPr>
            <w:tcW w:w="1108" w:type="dxa"/>
            <w:vAlign w:val="center"/>
          </w:tcPr>
          <w:p>
            <w:pPr>
              <w:widowControl/>
              <w:jc w:val="center"/>
              <w:textAlignment w:val="center"/>
              <w:rPr>
                <w:rFonts w:eastAsia="宋体"/>
                <w:sz w:val="21"/>
              </w:rPr>
            </w:pPr>
            <w:r>
              <w:rPr>
                <w:rFonts w:hint="eastAsia" w:eastAsia="宋体"/>
                <w:sz w:val="21"/>
              </w:rPr>
              <w:t>需要安装固定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10</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二楼会议室文化墙</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4.5m*1.6m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亚克力字+LOGO+喷绘</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kern w:val="2"/>
                <w:sz w:val="20"/>
                <w:lang w:bidi="ar"/>
              </w:rPr>
              <w:t>整幅</w:t>
            </w:r>
          </w:p>
        </w:tc>
        <w:tc>
          <w:tcPr>
            <w:tcW w:w="900"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1400</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2800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含安装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11</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户外马路2处项目道路指示牌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1m*4m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交通标志材料</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3500</w:t>
            </w:r>
          </w:p>
        </w:tc>
        <w:tc>
          <w:tcPr>
            <w:tcW w:w="1027"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7000</w:t>
            </w:r>
          </w:p>
        </w:tc>
        <w:tc>
          <w:tcPr>
            <w:tcW w:w="110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需要入地固定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12</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值班室外单位导向指引牌</w:t>
            </w:r>
          </w:p>
        </w:tc>
        <w:tc>
          <w:tcPr>
            <w:tcW w:w="1502"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2.5m*3m</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交通标志材料</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套</w:t>
            </w:r>
          </w:p>
        </w:tc>
        <w:tc>
          <w:tcPr>
            <w:tcW w:w="900" w:type="dxa"/>
            <w:vAlign w:val="center"/>
          </w:tcPr>
          <w:p>
            <w:pPr>
              <w:spacing w:line="280" w:lineRule="exact"/>
              <w:jc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4000</w:t>
            </w:r>
          </w:p>
        </w:tc>
        <w:tc>
          <w:tcPr>
            <w:tcW w:w="1027" w:type="dxa"/>
            <w:vAlign w:val="center"/>
          </w:tcPr>
          <w:p>
            <w:pPr>
              <w:spacing w:line="280" w:lineRule="exact"/>
              <w:jc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4000</w:t>
            </w:r>
          </w:p>
        </w:tc>
        <w:tc>
          <w:tcPr>
            <w:tcW w:w="1108" w:type="dxa"/>
            <w:vAlign w:val="center"/>
          </w:tcPr>
          <w:p>
            <w:pPr>
              <w:widowControl/>
              <w:jc w:val="center"/>
              <w:textAlignment w:val="center"/>
              <w:rPr>
                <w:rFonts w:ascii="仿宋" w:hAnsi="仿宋" w:eastAsia="仿宋" w:cs="仿宋"/>
                <w:color w:val="auto"/>
                <w:szCs w:val="24"/>
                <w:lang w:bidi="ar"/>
              </w:rPr>
            </w:pPr>
            <w:r>
              <w:rPr>
                <w:rFonts w:hint="eastAsia" w:ascii="仿宋" w:hAnsi="仿宋" w:eastAsia="仿宋" w:cs="仿宋"/>
                <w:color w:val="auto"/>
                <w:szCs w:val="24"/>
                <w:lang w:bidi="ar"/>
              </w:rPr>
              <w:t>版面面积1.5M*3M，需要入地安装。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63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sz w:val="20"/>
                <w:lang w:bidi="ar"/>
              </w:rPr>
              <w:t>13</w:t>
            </w:r>
          </w:p>
        </w:tc>
        <w:tc>
          <w:tcPr>
            <w:tcW w:w="1858" w:type="dxa"/>
            <w:vAlign w:val="center"/>
          </w:tcPr>
          <w:p>
            <w:pPr>
              <w:widowControl/>
              <w:jc w:val="center"/>
              <w:textAlignment w:val="center"/>
              <w:rPr>
                <w:rFonts w:ascii="宋体" w:hAnsi="宋体" w:eastAsia="宋体" w:cs="宋体"/>
                <w:sz w:val="22"/>
                <w:szCs w:val="22"/>
                <w:lang w:bidi="ar"/>
              </w:rPr>
            </w:pPr>
            <w:r>
              <w:rPr>
                <w:rFonts w:hint="eastAsia" w:ascii="宋体" w:hAnsi="宋体" w:cs="宋体"/>
                <w:sz w:val="22"/>
                <w:szCs w:val="22"/>
                <w:lang w:bidi="ar"/>
              </w:rPr>
              <w:t>铝合金隔断</w:t>
            </w:r>
          </w:p>
        </w:tc>
        <w:tc>
          <w:tcPr>
            <w:tcW w:w="1502" w:type="dxa"/>
            <w:vAlign w:val="center"/>
          </w:tcPr>
          <w:p>
            <w:pPr>
              <w:widowControl/>
              <w:jc w:val="center"/>
              <w:textAlignment w:val="center"/>
              <w:rPr>
                <w:rFonts w:ascii="宋体" w:hAnsi="宋体" w:eastAsia="宋体" w:cs="宋体"/>
                <w:sz w:val="22"/>
                <w:szCs w:val="22"/>
                <w:lang w:bidi="ar"/>
              </w:rPr>
            </w:pPr>
            <w:r>
              <w:rPr>
                <w:rFonts w:hint="eastAsia" w:ascii="宋体" w:hAnsi="宋体" w:eastAsia="宋体" w:cs="宋体"/>
                <w:sz w:val="22"/>
                <w:szCs w:val="22"/>
                <w:lang w:bidi="ar"/>
              </w:rPr>
              <w:t>铝合金厚度1.12mm,单层钢化玻璃6mm厚度，做推拉门。</w:t>
            </w: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color w:val="auto"/>
                <w:sz w:val="20"/>
                <w:lang w:bidi="ar"/>
              </w:rPr>
              <w:t>约16平方</w:t>
            </w:r>
          </w:p>
        </w:tc>
        <w:tc>
          <w:tcPr>
            <w:tcW w:w="1772" w:type="dxa"/>
            <w:vAlign w:val="center"/>
          </w:tcPr>
          <w:p>
            <w:pPr>
              <w:widowControl/>
              <w:jc w:val="center"/>
              <w:textAlignment w:val="center"/>
              <w:rPr>
                <w:rFonts w:ascii="宋体" w:hAnsi="宋体" w:eastAsia="宋体" w:cs="宋体"/>
                <w:sz w:val="22"/>
                <w:szCs w:val="22"/>
                <w:lang w:bidi="ar"/>
              </w:rPr>
            </w:pPr>
            <w:r>
              <w:rPr>
                <w:rFonts w:hint="eastAsia" w:ascii="宋体" w:hAnsi="宋体" w:cs="宋体"/>
                <w:sz w:val="22"/>
                <w:szCs w:val="22"/>
                <w:lang w:bidi="ar"/>
              </w:rPr>
              <w:t>铝合金+</w:t>
            </w:r>
            <w:r>
              <w:rPr>
                <w:rFonts w:hint="eastAsia" w:ascii="宋体" w:hAnsi="宋体" w:eastAsia="宋体" w:cs="宋体"/>
                <w:sz w:val="22"/>
                <w:szCs w:val="22"/>
                <w:lang w:bidi="ar"/>
              </w:rPr>
              <w:t>钢化玻璃</w:t>
            </w:r>
          </w:p>
        </w:tc>
        <w:tc>
          <w:tcPr>
            <w:tcW w:w="729" w:type="dxa"/>
            <w:vAlign w:val="center"/>
          </w:tcPr>
          <w:p>
            <w:pPr>
              <w:widowControl/>
              <w:jc w:val="center"/>
              <w:textAlignment w:val="center"/>
              <w:rPr>
                <w:rFonts w:ascii="宋体" w:hAnsi="宋体" w:eastAsia="宋体" w:cs="宋体"/>
                <w:sz w:val="22"/>
                <w:szCs w:val="22"/>
                <w:lang w:bidi="ar"/>
              </w:rPr>
            </w:pPr>
            <w:r>
              <w:rPr>
                <w:rFonts w:hint="eastAsia" w:ascii="宋体" w:hAnsi="宋体" w:eastAsia="宋体" w:cs="宋体"/>
                <w:sz w:val="22"/>
                <w:szCs w:val="22"/>
                <w:lang w:bidi="ar"/>
              </w:rPr>
              <w:t>平方</w:t>
            </w:r>
          </w:p>
        </w:tc>
        <w:tc>
          <w:tcPr>
            <w:tcW w:w="900" w:type="dxa"/>
            <w:vAlign w:val="center"/>
          </w:tcPr>
          <w:p>
            <w:pPr>
              <w:spacing w:line="280" w:lineRule="exact"/>
              <w:jc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200</w:t>
            </w:r>
          </w:p>
        </w:tc>
        <w:tc>
          <w:tcPr>
            <w:tcW w:w="1027" w:type="dxa"/>
            <w:vAlign w:val="center"/>
          </w:tcPr>
          <w:p>
            <w:pPr>
              <w:spacing w:line="280" w:lineRule="exact"/>
              <w:jc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3200</w:t>
            </w:r>
          </w:p>
        </w:tc>
        <w:tc>
          <w:tcPr>
            <w:tcW w:w="1108" w:type="dxa"/>
            <w:vAlign w:val="center"/>
          </w:tcPr>
          <w:p>
            <w:pPr>
              <w:widowControl/>
              <w:jc w:val="center"/>
              <w:textAlignment w:val="center"/>
              <w:rPr>
                <w:rFonts w:ascii="宋体" w:hAnsi="宋体" w:eastAsia="宋体" w:cs="宋体"/>
                <w:sz w:val="22"/>
                <w:szCs w:val="22"/>
                <w:lang w:bidi="ar"/>
              </w:rPr>
            </w:pPr>
            <w:r>
              <w:rPr>
                <w:rFonts w:hint="eastAsia" w:ascii="宋体" w:hAnsi="宋体" w:eastAsia="宋体" w:cs="宋体"/>
                <w:sz w:val="22"/>
                <w:szCs w:val="22"/>
                <w:lang w:bidi="ar"/>
              </w:rPr>
              <w:t>需要安装，并且钢化玻璃需要开孔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63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sz w:val="20"/>
                <w:lang w:bidi="ar"/>
              </w:rPr>
              <w:t>14</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sz w:val="22"/>
                <w:szCs w:val="22"/>
                <w:lang w:bidi="ar"/>
              </w:rPr>
              <w:t>试验室</w:t>
            </w:r>
            <w:r>
              <w:rPr>
                <w:rFonts w:hint="eastAsia" w:ascii="宋体" w:hAnsi="宋体" w:eastAsia="宋体" w:cs="宋体"/>
                <w:sz w:val="22"/>
                <w:szCs w:val="22"/>
                <w:lang w:bidi="ar"/>
              </w:rPr>
              <w:t>油漆修补</w:t>
            </w:r>
          </w:p>
        </w:tc>
        <w:tc>
          <w:tcPr>
            <w:tcW w:w="1502" w:type="dxa"/>
            <w:vAlign w:val="center"/>
          </w:tcPr>
          <w:p>
            <w:pPr>
              <w:jc w:val="center"/>
              <w:rPr>
                <w:rFonts w:ascii="宋体" w:hAnsi="宋体" w:eastAsia="宋体" w:cs="宋体"/>
                <w:color w:val="auto"/>
                <w:sz w:val="20"/>
                <w:lang w:bidi="ar"/>
              </w:rPr>
            </w:pP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220</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内墙乳胶漆</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平方</w:t>
            </w:r>
          </w:p>
        </w:tc>
        <w:tc>
          <w:tcPr>
            <w:tcW w:w="900"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25</w:t>
            </w:r>
          </w:p>
        </w:tc>
        <w:tc>
          <w:tcPr>
            <w:tcW w:w="1027"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5500</w:t>
            </w:r>
          </w:p>
        </w:tc>
        <w:tc>
          <w:tcPr>
            <w:tcW w:w="1108" w:type="dxa"/>
            <w:vAlign w:val="center"/>
          </w:tcPr>
          <w:p>
            <w:pPr>
              <w:widowControl/>
              <w:jc w:val="center"/>
              <w:textAlignment w:val="center"/>
              <w:rPr>
                <w:rFonts w:ascii="仿宋" w:hAnsi="仿宋" w:eastAsia="仿宋" w:cs="仿宋"/>
                <w:color w:val="auto"/>
                <w:sz w:val="28"/>
                <w:szCs w:val="28"/>
                <w:lang w:bidi="ar"/>
              </w:rPr>
            </w:pPr>
            <w:r>
              <w:rPr>
                <w:rFonts w:hint="eastAsia" w:ascii="仿宋" w:hAnsi="仿宋" w:eastAsia="仿宋" w:cs="仿宋"/>
                <w:color w:val="auto"/>
                <w:sz w:val="28"/>
                <w:szCs w:val="28"/>
                <w:lang w:bidi="ar"/>
              </w:rPr>
              <w:t>含材料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63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color w:val="auto"/>
                <w:sz w:val="20"/>
                <w:lang w:bidi="ar"/>
              </w:rPr>
              <w:t>15</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eastAsia="宋体" w:cs="宋体"/>
                <w:sz w:val="22"/>
                <w:szCs w:val="22"/>
                <w:lang w:bidi="ar"/>
              </w:rPr>
              <w:t>水电维修</w:t>
            </w:r>
          </w:p>
        </w:tc>
        <w:tc>
          <w:tcPr>
            <w:tcW w:w="1502" w:type="dxa"/>
            <w:vAlign w:val="center"/>
          </w:tcPr>
          <w:p>
            <w:pPr>
              <w:jc w:val="center"/>
              <w:rPr>
                <w:rFonts w:ascii="宋体" w:hAnsi="宋体" w:eastAsia="宋体" w:cs="宋体"/>
                <w:color w:val="auto"/>
                <w:sz w:val="20"/>
                <w:lang w:bidi="ar"/>
              </w:rPr>
            </w:pPr>
          </w:p>
        </w:tc>
        <w:tc>
          <w:tcPr>
            <w:tcW w:w="735"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w:t>
            </w:r>
          </w:p>
        </w:tc>
        <w:tc>
          <w:tcPr>
            <w:tcW w:w="1772"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小额维修</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项</w:t>
            </w:r>
          </w:p>
        </w:tc>
        <w:tc>
          <w:tcPr>
            <w:tcW w:w="900"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1200</w:t>
            </w:r>
          </w:p>
        </w:tc>
        <w:tc>
          <w:tcPr>
            <w:tcW w:w="1027"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1200</w:t>
            </w:r>
          </w:p>
        </w:tc>
        <w:tc>
          <w:tcPr>
            <w:tcW w:w="1108" w:type="dxa"/>
            <w:vAlign w:val="center"/>
          </w:tcPr>
          <w:p>
            <w:pPr>
              <w:widowControl/>
              <w:jc w:val="center"/>
              <w:textAlignment w:val="center"/>
              <w:rPr>
                <w:rFonts w:ascii="仿宋" w:hAnsi="仿宋" w:eastAsia="仿宋" w:cs="仿宋"/>
                <w:color w:val="auto"/>
                <w:sz w:val="28"/>
                <w:szCs w:val="28"/>
                <w:lang w:bidi="ar"/>
              </w:rPr>
            </w:pPr>
            <w:r>
              <w:rPr>
                <w:rFonts w:hint="eastAsia" w:ascii="仿宋" w:hAnsi="仿宋" w:eastAsia="仿宋" w:cs="仿宋"/>
                <w:color w:val="auto"/>
                <w:sz w:val="28"/>
                <w:szCs w:val="28"/>
                <w:lang w:bidi="ar"/>
              </w:rPr>
              <w:t>含材料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32"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color w:val="auto"/>
                <w:sz w:val="20"/>
                <w:lang w:bidi="ar"/>
              </w:rPr>
              <w:t>16</w:t>
            </w:r>
          </w:p>
        </w:tc>
        <w:tc>
          <w:tcPr>
            <w:tcW w:w="1858" w:type="dxa"/>
            <w:vAlign w:val="center"/>
          </w:tcPr>
          <w:p>
            <w:pPr>
              <w:widowControl/>
              <w:jc w:val="center"/>
              <w:textAlignment w:val="center"/>
              <w:rPr>
                <w:rFonts w:ascii="宋体" w:hAnsi="宋体" w:eastAsia="宋体" w:cs="宋体"/>
                <w:color w:val="auto"/>
                <w:sz w:val="20"/>
                <w:lang w:bidi="ar"/>
              </w:rPr>
            </w:pPr>
            <w:r>
              <w:rPr>
                <w:rFonts w:hint="eastAsia" w:ascii="宋体" w:hAnsi="宋体" w:cs="宋体"/>
                <w:sz w:val="22"/>
                <w:szCs w:val="22"/>
                <w:lang w:bidi="ar"/>
              </w:rPr>
              <w:t>试验室</w:t>
            </w:r>
            <w:r>
              <w:rPr>
                <w:rFonts w:hint="eastAsia" w:ascii="宋体" w:hAnsi="宋体" w:eastAsia="宋体" w:cs="宋体"/>
                <w:sz w:val="22"/>
                <w:szCs w:val="22"/>
                <w:lang w:bidi="ar"/>
              </w:rPr>
              <w:t>保洁服务</w:t>
            </w:r>
          </w:p>
        </w:tc>
        <w:tc>
          <w:tcPr>
            <w:tcW w:w="1502" w:type="dxa"/>
            <w:vAlign w:val="center"/>
          </w:tcPr>
          <w:p>
            <w:pPr>
              <w:jc w:val="center"/>
              <w:rPr>
                <w:rFonts w:ascii="宋体" w:hAnsi="宋体" w:eastAsia="宋体" w:cs="宋体"/>
                <w:color w:val="auto"/>
                <w:sz w:val="20"/>
                <w:lang w:bidi="ar"/>
              </w:rPr>
            </w:pPr>
          </w:p>
        </w:tc>
        <w:tc>
          <w:tcPr>
            <w:tcW w:w="735" w:type="dxa"/>
            <w:vAlign w:val="center"/>
          </w:tcPr>
          <w:p>
            <w:pPr>
              <w:jc w:val="center"/>
              <w:rPr>
                <w:rFonts w:ascii="宋体" w:hAnsi="宋体" w:eastAsia="宋体" w:cs="宋体"/>
                <w:color w:val="auto"/>
                <w:sz w:val="20"/>
                <w:lang w:bidi="ar"/>
              </w:rPr>
            </w:pPr>
            <w:r>
              <w:rPr>
                <w:rFonts w:hint="eastAsia" w:ascii="宋体" w:hAnsi="宋体" w:cs="宋体"/>
                <w:color w:val="auto"/>
                <w:sz w:val="20"/>
                <w:lang w:bidi="ar"/>
              </w:rPr>
              <w:t>1</w:t>
            </w:r>
          </w:p>
        </w:tc>
        <w:tc>
          <w:tcPr>
            <w:tcW w:w="1772" w:type="dxa"/>
            <w:vAlign w:val="center"/>
          </w:tcPr>
          <w:p>
            <w:pPr>
              <w:jc w:val="center"/>
              <w:rPr>
                <w:rFonts w:ascii="宋体" w:hAnsi="宋体" w:eastAsia="宋体" w:cs="宋体"/>
                <w:color w:val="auto"/>
                <w:kern w:val="2"/>
                <w:sz w:val="20"/>
                <w:lang w:bidi="ar"/>
              </w:rPr>
            </w:pPr>
            <w:r>
              <w:rPr>
                <w:rFonts w:hint="eastAsia" w:ascii="宋体" w:hAnsi="宋体" w:cs="宋体"/>
                <w:color w:val="auto"/>
                <w:kern w:val="2"/>
                <w:sz w:val="20"/>
                <w:lang w:bidi="ar"/>
              </w:rPr>
              <w:t>/</w:t>
            </w:r>
          </w:p>
        </w:tc>
        <w:tc>
          <w:tcPr>
            <w:tcW w:w="729" w:type="dxa"/>
            <w:vAlign w:val="center"/>
          </w:tcPr>
          <w:p>
            <w:pPr>
              <w:widowControl/>
              <w:jc w:val="center"/>
              <w:textAlignment w:val="center"/>
              <w:rPr>
                <w:rFonts w:ascii="宋体" w:hAnsi="宋体" w:eastAsia="宋体" w:cs="宋体"/>
                <w:color w:val="auto"/>
                <w:kern w:val="2"/>
                <w:sz w:val="20"/>
                <w:lang w:bidi="ar"/>
              </w:rPr>
            </w:pPr>
            <w:r>
              <w:rPr>
                <w:rFonts w:hint="eastAsia" w:ascii="宋体" w:hAnsi="宋体" w:eastAsia="宋体" w:cs="宋体"/>
                <w:sz w:val="22"/>
                <w:szCs w:val="22"/>
                <w:lang w:bidi="ar"/>
              </w:rPr>
              <w:t>项</w:t>
            </w:r>
          </w:p>
        </w:tc>
        <w:tc>
          <w:tcPr>
            <w:tcW w:w="900"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1200</w:t>
            </w:r>
          </w:p>
        </w:tc>
        <w:tc>
          <w:tcPr>
            <w:tcW w:w="1027" w:type="dxa"/>
            <w:vAlign w:val="center"/>
          </w:tcPr>
          <w:p>
            <w:pPr>
              <w:widowControl/>
              <w:jc w:val="center"/>
              <w:textAlignment w:val="center"/>
              <w:rPr>
                <w:rFonts w:ascii="仿宋" w:hAnsi="仿宋" w:eastAsia="仿宋" w:cs="仿宋"/>
                <w:color w:val="auto"/>
                <w:sz w:val="21"/>
                <w:szCs w:val="21"/>
                <w:lang w:bidi="ar"/>
              </w:rPr>
            </w:pPr>
            <w:r>
              <w:rPr>
                <w:rFonts w:hint="eastAsia" w:ascii="仿宋" w:hAnsi="仿宋" w:eastAsia="仿宋" w:cs="仿宋"/>
                <w:color w:val="auto"/>
                <w:sz w:val="21"/>
                <w:szCs w:val="21"/>
                <w:lang w:bidi="ar"/>
              </w:rPr>
              <w:t>1200</w:t>
            </w:r>
          </w:p>
        </w:tc>
        <w:tc>
          <w:tcPr>
            <w:tcW w:w="1108" w:type="dxa"/>
            <w:vAlign w:val="center"/>
          </w:tcPr>
          <w:p>
            <w:pPr>
              <w:widowControl/>
              <w:jc w:val="center"/>
              <w:textAlignment w:val="center"/>
              <w:rPr>
                <w:rFonts w:ascii="宋体" w:hAnsi="宋体" w:eastAsia="宋体" w:cs="宋体"/>
                <w:kern w:val="2"/>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499" w:type="dxa"/>
            <w:gridSpan w:val="5"/>
            <w:vAlign w:val="center"/>
          </w:tcPr>
          <w:p>
            <w:pPr>
              <w:jc w:val="center"/>
              <w:rPr>
                <w:rFonts w:ascii="宋体" w:hAnsi="宋体" w:eastAsia="宋体" w:cs="宋体"/>
                <w:color w:val="auto"/>
                <w:kern w:val="2"/>
                <w:sz w:val="20"/>
                <w:lang w:bidi="ar"/>
              </w:rPr>
            </w:pPr>
            <w:r>
              <w:rPr>
                <w:rFonts w:hint="eastAsia" w:ascii="宋体" w:hAnsi="宋体" w:eastAsia="宋体" w:cs="宋体"/>
                <w:bCs/>
                <w:sz w:val="28"/>
                <w:szCs w:val="28"/>
              </w:rPr>
              <w:t>控制总价（税率3%）</w:t>
            </w:r>
          </w:p>
        </w:tc>
        <w:tc>
          <w:tcPr>
            <w:tcW w:w="3764" w:type="dxa"/>
            <w:gridSpan w:val="4"/>
            <w:vAlign w:val="center"/>
          </w:tcPr>
          <w:p>
            <w:pPr>
              <w:widowControl/>
              <w:jc w:val="center"/>
              <w:textAlignment w:val="center"/>
              <w:rPr>
                <w:rFonts w:ascii="宋体" w:hAnsi="宋体" w:eastAsia="宋体" w:cs="宋体"/>
                <w:kern w:val="2"/>
                <w:sz w:val="22"/>
                <w:szCs w:val="22"/>
              </w:rPr>
            </w:pPr>
            <w:r>
              <w:rPr>
                <w:rFonts w:hint="eastAsia" w:ascii="宋体" w:hAnsi="宋体" w:cs="宋体"/>
                <w:kern w:val="2"/>
                <w:sz w:val="22"/>
                <w:szCs w:val="22"/>
              </w:rPr>
              <w:t>48328.6元</w:t>
            </w:r>
          </w:p>
        </w:tc>
      </w:tr>
    </w:tbl>
    <w:p>
      <w:pPr>
        <w:spacing w:line="560" w:lineRule="exact"/>
        <w:jc w:val="left"/>
        <w:outlineLvl w:val="2"/>
        <w:rPr>
          <w:rFonts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注：报价包含税金3%和设计、制作、运输、安装及后期维护等全部费用。</w:t>
      </w:r>
    </w:p>
    <w:p>
      <w:pPr>
        <w:pStyle w:val="8"/>
        <w:rPr>
          <w:rFonts w:ascii="仿宋_GB2312" w:hAnsi="仿宋_GB2312" w:eastAsia="仿宋_GB2312" w:cs="仿宋_GB2312"/>
          <w:b/>
          <w:bCs/>
          <w:color w:val="auto"/>
          <w:sz w:val="36"/>
          <w:szCs w:val="36"/>
        </w:rPr>
      </w:pPr>
    </w:p>
    <w:p>
      <w:pPr>
        <w:pStyle w:val="8"/>
        <w:rPr>
          <w:rFonts w:ascii="仿宋_GB2312" w:hAnsi="仿宋_GB2312" w:eastAsia="仿宋_GB2312" w:cs="仿宋_GB2312"/>
          <w:b/>
          <w:bCs/>
          <w:color w:val="auto"/>
          <w:sz w:val="36"/>
          <w:szCs w:val="36"/>
        </w:rPr>
      </w:pPr>
    </w:p>
    <w:p>
      <w:pPr>
        <w:spacing w:line="560" w:lineRule="exact"/>
        <w:ind w:firstLine="630"/>
        <w:jc w:val="center"/>
        <w:rPr>
          <w:rFonts w:ascii="仿宋_GB2312" w:hAnsi="仿宋_GB2312" w:eastAsia="仿宋_GB2312" w:cs="仿宋_GB2312"/>
          <w:sz w:val="36"/>
          <w:szCs w:val="36"/>
        </w:rPr>
      </w:pPr>
      <w:r>
        <w:rPr>
          <w:rFonts w:hint="eastAsia" w:ascii="仿宋_GB2312" w:hAnsi="仿宋_GB2312" w:eastAsia="仿宋_GB2312" w:cs="仿宋_GB2312"/>
          <w:sz w:val="36"/>
          <w:szCs w:val="36"/>
        </w:rPr>
        <w:t xml:space="preserve">          投标单位：      （公章）</w:t>
      </w:r>
    </w:p>
    <w:p>
      <w:pPr>
        <w:spacing w:line="560" w:lineRule="exact"/>
        <w:ind w:firstLine="630"/>
        <w:jc w:val="center"/>
        <w:rPr>
          <w:rFonts w:ascii="仿宋" w:hAnsi="仿宋" w:eastAsia="仿宋" w:cs="仿宋"/>
          <w:b/>
          <w:bCs/>
          <w:sz w:val="32"/>
          <w:szCs w:val="32"/>
        </w:rPr>
      </w:pPr>
      <w:r>
        <w:rPr>
          <w:rFonts w:hint="eastAsia" w:ascii="仿宋_GB2312" w:hAnsi="仿宋_GB2312" w:eastAsia="仿宋_GB2312" w:cs="仿宋_GB2312"/>
          <w:sz w:val="36"/>
          <w:szCs w:val="36"/>
        </w:rPr>
        <w:t xml:space="preserve">                日    期：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仿宋_GB2312">
    <w:altName w:val="仿宋"/>
    <w:panose1 w:val="00000000000000000000"/>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简体">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embedSystemFonts/>
  <w:documentProtection w:enforcement="0"/>
  <w:defaultTabStop w:val="420"/>
  <w:drawingGridVerticalSpacing w:val="156"/>
  <w:noPunctuationKerning w:val="1"/>
  <w:characterSpacingControl w:val="compressPunctuation"/>
  <w:footnotePr>
    <w:numStart w:val="0"/>
  </w:footnotePr>
  <w:endnotePr>
    <w:numFmt w:val="decimal"/>
    <w:numStart w:val="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YyMTg3Y2U0MTVkNGI0ZDNmZDM4YzViODVlZjM4YTAifQ=="/>
  </w:docVars>
  <w:rsids>
    <w:rsidRoot w:val="424342E6"/>
    <w:rsid w:val="00001A73"/>
    <w:rsid w:val="0000216D"/>
    <w:rsid w:val="00003269"/>
    <w:rsid w:val="00004056"/>
    <w:rsid w:val="0000765B"/>
    <w:rsid w:val="00013DEA"/>
    <w:rsid w:val="0002045D"/>
    <w:rsid w:val="00021DE1"/>
    <w:rsid w:val="000317C7"/>
    <w:rsid w:val="00044745"/>
    <w:rsid w:val="000465D6"/>
    <w:rsid w:val="000500A8"/>
    <w:rsid w:val="00071A3B"/>
    <w:rsid w:val="0007285B"/>
    <w:rsid w:val="00073968"/>
    <w:rsid w:val="000741D5"/>
    <w:rsid w:val="00082869"/>
    <w:rsid w:val="00082FD0"/>
    <w:rsid w:val="00083ED9"/>
    <w:rsid w:val="00086037"/>
    <w:rsid w:val="00094E87"/>
    <w:rsid w:val="000958BC"/>
    <w:rsid w:val="000C1572"/>
    <w:rsid w:val="000C1916"/>
    <w:rsid w:val="000D50C1"/>
    <w:rsid w:val="000D52A5"/>
    <w:rsid w:val="000E4A99"/>
    <w:rsid w:val="001007E3"/>
    <w:rsid w:val="00105946"/>
    <w:rsid w:val="00105B49"/>
    <w:rsid w:val="00110DB0"/>
    <w:rsid w:val="00125588"/>
    <w:rsid w:val="00142609"/>
    <w:rsid w:val="001465BE"/>
    <w:rsid w:val="0015253D"/>
    <w:rsid w:val="00162D7B"/>
    <w:rsid w:val="001672FB"/>
    <w:rsid w:val="001800C5"/>
    <w:rsid w:val="0018111A"/>
    <w:rsid w:val="00181148"/>
    <w:rsid w:val="00181475"/>
    <w:rsid w:val="00184572"/>
    <w:rsid w:val="0018522B"/>
    <w:rsid w:val="00186530"/>
    <w:rsid w:val="00187D67"/>
    <w:rsid w:val="00194BAA"/>
    <w:rsid w:val="00195B2D"/>
    <w:rsid w:val="001A1BD8"/>
    <w:rsid w:val="001A60F7"/>
    <w:rsid w:val="001B5701"/>
    <w:rsid w:val="001B6BD2"/>
    <w:rsid w:val="001C10EE"/>
    <w:rsid w:val="001D1C49"/>
    <w:rsid w:val="001D74E5"/>
    <w:rsid w:val="001D771C"/>
    <w:rsid w:val="001E3478"/>
    <w:rsid w:val="001F368D"/>
    <w:rsid w:val="001F460E"/>
    <w:rsid w:val="002013B1"/>
    <w:rsid w:val="002114E2"/>
    <w:rsid w:val="00211FE8"/>
    <w:rsid w:val="00213D06"/>
    <w:rsid w:val="00217756"/>
    <w:rsid w:val="002200A8"/>
    <w:rsid w:val="002404A4"/>
    <w:rsid w:val="002405E2"/>
    <w:rsid w:val="00242303"/>
    <w:rsid w:val="00245B07"/>
    <w:rsid w:val="00245CF5"/>
    <w:rsid w:val="0026106E"/>
    <w:rsid w:val="00264550"/>
    <w:rsid w:val="00277072"/>
    <w:rsid w:val="002824ED"/>
    <w:rsid w:val="0029507E"/>
    <w:rsid w:val="0029756B"/>
    <w:rsid w:val="002A0173"/>
    <w:rsid w:val="002A0331"/>
    <w:rsid w:val="002A1839"/>
    <w:rsid w:val="002A62B5"/>
    <w:rsid w:val="002A72EE"/>
    <w:rsid w:val="002B0BFF"/>
    <w:rsid w:val="002C1A1A"/>
    <w:rsid w:val="002C6577"/>
    <w:rsid w:val="002E0572"/>
    <w:rsid w:val="002E6A35"/>
    <w:rsid w:val="00306BEE"/>
    <w:rsid w:val="00312EFD"/>
    <w:rsid w:val="00323DDD"/>
    <w:rsid w:val="00331202"/>
    <w:rsid w:val="00336867"/>
    <w:rsid w:val="003415BB"/>
    <w:rsid w:val="003460BB"/>
    <w:rsid w:val="00352380"/>
    <w:rsid w:val="003556DD"/>
    <w:rsid w:val="003566EB"/>
    <w:rsid w:val="003613AA"/>
    <w:rsid w:val="00364494"/>
    <w:rsid w:val="00373E7D"/>
    <w:rsid w:val="003771E8"/>
    <w:rsid w:val="00382E6C"/>
    <w:rsid w:val="00382F8C"/>
    <w:rsid w:val="003837D4"/>
    <w:rsid w:val="00392A21"/>
    <w:rsid w:val="00392C3F"/>
    <w:rsid w:val="003A15C7"/>
    <w:rsid w:val="003A3C4E"/>
    <w:rsid w:val="003A45AF"/>
    <w:rsid w:val="003B0E7B"/>
    <w:rsid w:val="003B28A8"/>
    <w:rsid w:val="003B2A5B"/>
    <w:rsid w:val="003B581D"/>
    <w:rsid w:val="003B6421"/>
    <w:rsid w:val="003B6E17"/>
    <w:rsid w:val="003C0B30"/>
    <w:rsid w:val="003C1CEA"/>
    <w:rsid w:val="003C5C2F"/>
    <w:rsid w:val="003C5F6B"/>
    <w:rsid w:val="003D018F"/>
    <w:rsid w:val="003D6A24"/>
    <w:rsid w:val="003E137F"/>
    <w:rsid w:val="003E4C59"/>
    <w:rsid w:val="003E5F01"/>
    <w:rsid w:val="003F3576"/>
    <w:rsid w:val="003F54A9"/>
    <w:rsid w:val="003F6D55"/>
    <w:rsid w:val="00400C7D"/>
    <w:rsid w:val="00401759"/>
    <w:rsid w:val="0040696D"/>
    <w:rsid w:val="00411CA8"/>
    <w:rsid w:val="004208AB"/>
    <w:rsid w:val="00421582"/>
    <w:rsid w:val="00422892"/>
    <w:rsid w:val="00423743"/>
    <w:rsid w:val="00430B28"/>
    <w:rsid w:val="004319A4"/>
    <w:rsid w:val="004331DC"/>
    <w:rsid w:val="004333BD"/>
    <w:rsid w:val="004506C6"/>
    <w:rsid w:val="00452873"/>
    <w:rsid w:val="00452AD1"/>
    <w:rsid w:val="00457508"/>
    <w:rsid w:val="00460B02"/>
    <w:rsid w:val="00464CC8"/>
    <w:rsid w:val="00464D0D"/>
    <w:rsid w:val="004768D1"/>
    <w:rsid w:val="004832BE"/>
    <w:rsid w:val="00483914"/>
    <w:rsid w:val="00485B80"/>
    <w:rsid w:val="00490B6C"/>
    <w:rsid w:val="00493525"/>
    <w:rsid w:val="004A0AE9"/>
    <w:rsid w:val="004A0E0A"/>
    <w:rsid w:val="004A1140"/>
    <w:rsid w:val="004A1D0D"/>
    <w:rsid w:val="004A22C3"/>
    <w:rsid w:val="004A4DDF"/>
    <w:rsid w:val="004A65C4"/>
    <w:rsid w:val="004A7A34"/>
    <w:rsid w:val="004B342D"/>
    <w:rsid w:val="004B4BBF"/>
    <w:rsid w:val="004B54EA"/>
    <w:rsid w:val="004B559D"/>
    <w:rsid w:val="004B7DED"/>
    <w:rsid w:val="004D1882"/>
    <w:rsid w:val="004D2AEE"/>
    <w:rsid w:val="004D3502"/>
    <w:rsid w:val="004E02B9"/>
    <w:rsid w:val="004E3F23"/>
    <w:rsid w:val="004F179A"/>
    <w:rsid w:val="004F5A0D"/>
    <w:rsid w:val="004F5AA8"/>
    <w:rsid w:val="00501E3F"/>
    <w:rsid w:val="00505FB1"/>
    <w:rsid w:val="00511705"/>
    <w:rsid w:val="00532FC3"/>
    <w:rsid w:val="00535C7D"/>
    <w:rsid w:val="00536F05"/>
    <w:rsid w:val="00543ADC"/>
    <w:rsid w:val="00544D0E"/>
    <w:rsid w:val="00545442"/>
    <w:rsid w:val="00546714"/>
    <w:rsid w:val="00554D7A"/>
    <w:rsid w:val="00581C20"/>
    <w:rsid w:val="00584E52"/>
    <w:rsid w:val="00587A16"/>
    <w:rsid w:val="00592FB5"/>
    <w:rsid w:val="005A1720"/>
    <w:rsid w:val="005A3691"/>
    <w:rsid w:val="005A63F0"/>
    <w:rsid w:val="005B6088"/>
    <w:rsid w:val="005B6EC7"/>
    <w:rsid w:val="005B7563"/>
    <w:rsid w:val="005C0897"/>
    <w:rsid w:val="005C4AFB"/>
    <w:rsid w:val="005D0DB7"/>
    <w:rsid w:val="005D6962"/>
    <w:rsid w:val="005D7195"/>
    <w:rsid w:val="005E110B"/>
    <w:rsid w:val="005E1792"/>
    <w:rsid w:val="005E66D3"/>
    <w:rsid w:val="005E7654"/>
    <w:rsid w:val="005F2A63"/>
    <w:rsid w:val="005F60ED"/>
    <w:rsid w:val="0060136E"/>
    <w:rsid w:val="00601927"/>
    <w:rsid w:val="0060338D"/>
    <w:rsid w:val="00605CF1"/>
    <w:rsid w:val="00611D43"/>
    <w:rsid w:val="00615383"/>
    <w:rsid w:val="006353D6"/>
    <w:rsid w:val="006375F4"/>
    <w:rsid w:val="006477AE"/>
    <w:rsid w:val="00650CA9"/>
    <w:rsid w:val="0065705F"/>
    <w:rsid w:val="00666C78"/>
    <w:rsid w:val="0066710B"/>
    <w:rsid w:val="00675A5F"/>
    <w:rsid w:val="00680553"/>
    <w:rsid w:val="00690925"/>
    <w:rsid w:val="0069174C"/>
    <w:rsid w:val="006952C9"/>
    <w:rsid w:val="006B5418"/>
    <w:rsid w:val="006B7569"/>
    <w:rsid w:val="006C33AD"/>
    <w:rsid w:val="006D2038"/>
    <w:rsid w:val="006E208E"/>
    <w:rsid w:val="006E769A"/>
    <w:rsid w:val="006F3FE0"/>
    <w:rsid w:val="0070020D"/>
    <w:rsid w:val="00702BBA"/>
    <w:rsid w:val="00703EB1"/>
    <w:rsid w:val="00706655"/>
    <w:rsid w:val="00706756"/>
    <w:rsid w:val="00713C09"/>
    <w:rsid w:val="00714037"/>
    <w:rsid w:val="00716615"/>
    <w:rsid w:val="00722472"/>
    <w:rsid w:val="0073068E"/>
    <w:rsid w:val="00741746"/>
    <w:rsid w:val="007438F8"/>
    <w:rsid w:val="00744D9E"/>
    <w:rsid w:val="00746585"/>
    <w:rsid w:val="00753D2F"/>
    <w:rsid w:val="00760C7A"/>
    <w:rsid w:val="007634BF"/>
    <w:rsid w:val="00766832"/>
    <w:rsid w:val="0077173E"/>
    <w:rsid w:val="00771DCE"/>
    <w:rsid w:val="007873E6"/>
    <w:rsid w:val="00793EB9"/>
    <w:rsid w:val="00796DCA"/>
    <w:rsid w:val="007978D9"/>
    <w:rsid w:val="007A2332"/>
    <w:rsid w:val="007A3F2E"/>
    <w:rsid w:val="007A4F9E"/>
    <w:rsid w:val="007B1108"/>
    <w:rsid w:val="007B194B"/>
    <w:rsid w:val="007B1AE7"/>
    <w:rsid w:val="007B7734"/>
    <w:rsid w:val="007C3C91"/>
    <w:rsid w:val="007D36C6"/>
    <w:rsid w:val="007D3C8C"/>
    <w:rsid w:val="007D64CA"/>
    <w:rsid w:val="007E3909"/>
    <w:rsid w:val="007E6764"/>
    <w:rsid w:val="007F494A"/>
    <w:rsid w:val="008021DE"/>
    <w:rsid w:val="00805A75"/>
    <w:rsid w:val="00805FC2"/>
    <w:rsid w:val="008060BE"/>
    <w:rsid w:val="00810F42"/>
    <w:rsid w:val="00814845"/>
    <w:rsid w:val="00827CD7"/>
    <w:rsid w:val="00842A26"/>
    <w:rsid w:val="00846198"/>
    <w:rsid w:val="00855685"/>
    <w:rsid w:val="00856406"/>
    <w:rsid w:val="00862B80"/>
    <w:rsid w:val="00862D81"/>
    <w:rsid w:val="0086391A"/>
    <w:rsid w:val="008656E6"/>
    <w:rsid w:val="008674F2"/>
    <w:rsid w:val="008703BA"/>
    <w:rsid w:val="00872285"/>
    <w:rsid w:val="00872AE8"/>
    <w:rsid w:val="008747C1"/>
    <w:rsid w:val="00883890"/>
    <w:rsid w:val="00884E41"/>
    <w:rsid w:val="008850CD"/>
    <w:rsid w:val="0088534F"/>
    <w:rsid w:val="00891DBB"/>
    <w:rsid w:val="0089255B"/>
    <w:rsid w:val="008950CC"/>
    <w:rsid w:val="008A4790"/>
    <w:rsid w:val="008B5A2D"/>
    <w:rsid w:val="008B7E57"/>
    <w:rsid w:val="008C2E88"/>
    <w:rsid w:val="008D68E9"/>
    <w:rsid w:val="008F5806"/>
    <w:rsid w:val="008F678F"/>
    <w:rsid w:val="008F71EF"/>
    <w:rsid w:val="009102E8"/>
    <w:rsid w:val="00915751"/>
    <w:rsid w:val="00915C25"/>
    <w:rsid w:val="00925916"/>
    <w:rsid w:val="0092592D"/>
    <w:rsid w:val="009272E5"/>
    <w:rsid w:val="00933ABF"/>
    <w:rsid w:val="00935D9A"/>
    <w:rsid w:val="009423C7"/>
    <w:rsid w:val="00944357"/>
    <w:rsid w:val="009457E6"/>
    <w:rsid w:val="00947250"/>
    <w:rsid w:val="0095436B"/>
    <w:rsid w:val="009551FE"/>
    <w:rsid w:val="00955C06"/>
    <w:rsid w:val="00957F14"/>
    <w:rsid w:val="00963E0F"/>
    <w:rsid w:val="00964D67"/>
    <w:rsid w:val="00971DB0"/>
    <w:rsid w:val="00971F32"/>
    <w:rsid w:val="0097209F"/>
    <w:rsid w:val="00973839"/>
    <w:rsid w:val="009761CA"/>
    <w:rsid w:val="009779D5"/>
    <w:rsid w:val="0098020E"/>
    <w:rsid w:val="0098040B"/>
    <w:rsid w:val="00983EF7"/>
    <w:rsid w:val="00987860"/>
    <w:rsid w:val="0099625D"/>
    <w:rsid w:val="009B0B1D"/>
    <w:rsid w:val="009B4AB7"/>
    <w:rsid w:val="009C5437"/>
    <w:rsid w:val="009D0747"/>
    <w:rsid w:val="009E1A1F"/>
    <w:rsid w:val="009E26C1"/>
    <w:rsid w:val="009E3F54"/>
    <w:rsid w:val="009E5CC9"/>
    <w:rsid w:val="009F6C64"/>
    <w:rsid w:val="00A05629"/>
    <w:rsid w:val="00A166F1"/>
    <w:rsid w:val="00A228C1"/>
    <w:rsid w:val="00A22921"/>
    <w:rsid w:val="00A246A0"/>
    <w:rsid w:val="00A651D1"/>
    <w:rsid w:val="00A65A92"/>
    <w:rsid w:val="00A67DA0"/>
    <w:rsid w:val="00A67DBA"/>
    <w:rsid w:val="00A702FC"/>
    <w:rsid w:val="00A71508"/>
    <w:rsid w:val="00A82995"/>
    <w:rsid w:val="00A83886"/>
    <w:rsid w:val="00A849CA"/>
    <w:rsid w:val="00A85A77"/>
    <w:rsid w:val="00A869B7"/>
    <w:rsid w:val="00A87587"/>
    <w:rsid w:val="00A91AA8"/>
    <w:rsid w:val="00A93475"/>
    <w:rsid w:val="00A9614D"/>
    <w:rsid w:val="00AA55AB"/>
    <w:rsid w:val="00AA6F3A"/>
    <w:rsid w:val="00AB0C89"/>
    <w:rsid w:val="00AB4F0B"/>
    <w:rsid w:val="00AB5577"/>
    <w:rsid w:val="00AB59CF"/>
    <w:rsid w:val="00AB632B"/>
    <w:rsid w:val="00AC3EE8"/>
    <w:rsid w:val="00AC4DF6"/>
    <w:rsid w:val="00AC6D94"/>
    <w:rsid w:val="00AC7442"/>
    <w:rsid w:val="00AD02AC"/>
    <w:rsid w:val="00AD49EC"/>
    <w:rsid w:val="00AD6B7E"/>
    <w:rsid w:val="00AD6F4D"/>
    <w:rsid w:val="00AE04E8"/>
    <w:rsid w:val="00AE2DA9"/>
    <w:rsid w:val="00AE4BE5"/>
    <w:rsid w:val="00AF5E41"/>
    <w:rsid w:val="00B03BC8"/>
    <w:rsid w:val="00B1474C"/>
    <w:rsid w:val="00B148F0"/>
    <w:rsid w:val="00B15DCE"/>
    <w:rsid w:val="00B30C02"/>
    <w:rsid w:val="00B31848"/>
    <w:rsid w:val="00B34F59"/>
    <w:rsid w:val="00B4086A"/>
    <w:rsid w:val="00B41B2A"/>
    <w:rsid w:val="00B508AC"/>
    <w:rsid w:val="00B50D73"/>
    <w:rsid w:val="00B52F45"/>
    <w:rsid w:val="00B531A8"/>
    <w:rsid w:val="00B6072E"/>
    <w:rsid w:val="00B63001"/>
    <w:rsid w:val="00B64D31"/>
    <w:rsid w:val="00B653A3"/>
    <w:rsid w:val="00B74DA4"/>
    <w:rsid w:val="00B759E8"/>
    <w:rsid w:val="00B818C6"/>
    <w:rsid w:val="00B82C7D"/>
    <w:rsid w:val="00B86688"/>
    <w:rsid w:val="00B87D5D"/>
    <w:rsid w:val="00B90E8B"/>
    <w:rsid w:val="00B919AE"/>
    <w:rsid w:val="00B91C2E"/>
    <w:rsid w:val="00B94389"/>
    <w:rsid w:val="00BA2515"/>
    <w:rsid w:val="00BB17C4"/>
    <w:rsid w:val="00BB1ADF"/>
    <w:rsid w:val="00BB2205"/>
    <w:rsid w:val="00BB5C8E"/>
    <w:rsid w:val="00BC4561"/>
    <w:rsid w:val="00BD3885"/>
    <w:rsid w:val="00BD6ACC"/>
    <w:rsid w:val="00BE372E"/>
    <w:rsid w:val="00BE6138"/>
    <w:rsid w:val="00BF0F17"/>
    <w:rsid w:val="00BF320F"/>
    <w:rsid w:val="00C00DEA"/>
    <w:rsid w:val="00C01347"/>
    <w:rsid w:val="00C01C05"/>
    <w:rsid w:val="00C04BD4"/>
    <w:rsid w:val="00C0697A"/>
    <w:rsid w:val="00C15630"/>
    <w:rsid w:val="00C214C5"/>
    <w:rsid w:val="00C22E19"/>
    <w:rsid w:val="00C2338F"/>
    <w:rsid w:val="00C277AB"/>
    <w:rsid w:val="00C34240"/>
    <w:rsid w:val="00C42234"/>
    <w:rsid w:val="00C46AD9"/>
    <w:rsid w:val="00C50111"/>
    <w:rsid w:val="00C50A02"/>
    <w:rsid w:val="00C5217F"/>
    <w:rsid w:val="00C6288A"/>
    <w:rsid w:val="00C74977"/>
    <w:rsid w:val="00C74D53"/>
    <w:rsid w:val="00C75845"/>
    <w:rsid w:val="00C81227"/>
    <w:rsid w:val="00C8477E"/>
    <w:rsid w:val="00C8756B"/>
    <w:rsid w:val="00C939BD"/>
    <w:rsid w:val="00C93FA4"/>
    <w:rsid w:val="00C9414E"/>
    <w:rsid w:val="00CB1256"/>
    <w:rsid w:val="00CB1987"/>
    <w:rsid w:val="00CB6C2A"/>
    <w:rsid w:val="00CC0DAB"/>
    <w:rsid w:val="00CC2FBC"/>
    <w:rsid w:val="00CC48D7"/>
    <w:rsid w:val="00CC5163"/>
    <w:rsid w:val="00CC76FB"/>
    <w:rsid w:val="00CD0207"/>
    <w:rsid w:val="00CD181F"/>
    <w:rsid w:val="00CD337F"/>
    <w:rsid w:val="00CD7D38"/>
    <w:rsid w:val="00CE2E7F"/>
    <w:rsid w:val="00CE6BB2"/>
    <w:rsid w:val="00CE7E89"/>
    <w:rsid w:val="00CF1A37"/>
    <w:rsid w:val="00CF38D8"/>
    <w:rsid w:val="00CF4006"/>
    <w:rsid w:val="00CF66CE"/>
    <w:rsid w:val="00D02202"/>
    <w:rsid w:val="00D32B34"/>
    <w:rsid w:val="00D41509"/>
    <w:rsid w:val="00D41A47"/>
    <w:rsid w:val="00D42AF2"/>
    <w:rsid w:val="00D47987"/>
    <w:rsid w:val="00D5356B"/>
    <w:rsid w:val="00D535D5"/>
    <w:rsid w:val="00D54BDC"/>
    <w:rsid w:val="00D55841"/>
    <w:rsid w:val="00D602FD"/>
    <w:rsid w:val="00D64071"/>
    <w:rsid w:val="00D646C6"/>
    <w:rsid w:val="00D669B5"/>
    <w:rsid w:val="00D76C95"/>
    <w:rsid w:val="00D8098E"/>
    <w:rsid w:val="00D81366"/>
    <w:rsid w:val="00D85A5D"/>
    <w:rsid w:val="00D86505"/>
    <w:rsid w:val="00D931F0"/>
    <w:rsid w:val="00D93CA0"/>
    <w:rsid w:val="00D96990"/>
    <w:rsid w:val="00DB6E62"/>
    <w:rsid w:val="00DC5D1D"/>
    <w:rsid w:val="00DD21B3"/>
    <w:rsid w:val="00DE0529"/>
    <w:rsid w:val="00DE33D3"/>
    <w:rsid w:val="00DE7337"/>
    <w:rsid w:val="00DF03C9"/>
    <w:rsid w:val="00E006DF"/>
    <w:rsid w:val="00E02341"/>
    <w:rsid w:val="00E06C98"/>
    <w:rsid w:val="00E07D37"/>
    <w:rsid w:val="00E15E30"/>
    <w:rsid w:val="00E20A5D"/>
    <w:rsid w:val="00E20BAA"/>
    <w:rsid w:val="00E24689"/>
    <w:rsid w:val="00E31ACA"/>
    <w:rsid w:val="00E3237B"/>
    <w:rsid w:val="00E44506"/>
    <w:rsid w:val="00E47130"/>
    <w:rsid w:val="00E51BD4"/>
    <w:rsid w:val="00E60819"/>
    <w:rsid w:val="00E6302C"/>
    <w:rsid w:val="00E63540"/>
    <w:rsid w:val="00E65CFE"/>
    <w:rsid w:val="00E70203"/>
    <w:rsid w:val="00E70728"/>
    <w:rsid w:val="00E71252"/>
    <w:rsid w:val="00E854D3"/>
    <w:rsid w:val="00E858F0"/>
    <w:rsid w:val="00E91373"/>
    <w:rsid w:val="00E91890"/>
    <w:rsid w:val="00E91FF7"/>
    <w:rsid w:val="00E964B4"/>
    <w:rsid w:val="00EA252E"/>
    <w:rsid w:val="00EA3981"/>
    <w:rsid w:val="00EA5A20"/>
    <w:rsid w:val="00EB51AD"/>
    <w:rsid w:val="00EB73B8"/>
    <w:rsid w:val="00EC307B"/>
    <w:rsid w:val="00ED3344"/>
    <w:rsid w:val="00ED3D0F"/>
    <w:rsid w:val="00ED71BA"/>
    <w:rsid w:val="00EE093C"/>
    <w:rsid w:val="00EF1D71"/>
    <w:rsid w:val="00EF3CA1"/>
    <w:rsid w:val="00EF4244"/>
    <w:rsid w:val="00F00E66"/>
    <w:rsid w:val="00F066F2"/>
    <w:rsid w:val="00F20E8C"/>
    <w:rsid w:val="00F222F3"/>
    <w:rsid w:val="00F26D8C"/>
    <w:rsid w:val="00F3067B"/>
    <w:rsid w:val="00F33F04"/>
    <w:rsid w:val="00F36B47"/>
    <w:rsid w:val="00F3747A"/>
    <w:rsid w:val="00F500A7"/>
    <w:rsid w:val="00F61EDD"/>
    <w:rsid w:val="00F63D94"/>
    <w:rsid w:val="00F640CB"/>
    <w:rsid w:val="00F6498D"/>
    <w:rsid w:val="00F81CCC"/>
    <w:rsid w:val="00F82003"/>
    <w:rsid w:val="00F8610D"/>
    <w:rsid w:val="00F86F63"/>
    <w:rsid w:val="00F872F2"/>
    <w:rsid w:val="00F92E5D"/>
    <w:rsid w:val="00FA2DAC"/>
    <w:rsid w:val="00FA4D6C"/>
    <w:rsid w:val="00FA55F4"/>
    <w:rsid w:val="00FB4B2A"/>
    <w:rsid w:val="00FB5BDC"/>
    <w:rsid w:val="00FC6D11"/>
    <w:rsid w:val="00FD705C"/>
    <w:rsid w:val="00FE32C5"/>
    <w:rsid w:val="00FE4866"/>
    <w:rsid w:val="00FE5DAF"/>
    <w:rsid w:val="00FE7577"/>
    <w:rsid w:val="00FF231C"/>
    <w:rsid w:val="01BE58DB"/>
    <w:rsid w:val="05A36BAE"/>
    <w:rsid w:val="05F838A8"/>
    <w:rsid w:val="061467DC"/>
    <w:rsid w:val="06C850D8"/>
    <w:rsid w:val="06F370CF"/>
    <w:rsid w:val="07CF1FAC"/>
    <w:rsid w:val="091D56AF"/>
    <w:rsid w:val="0ACE3365"/>
    <w:rsid w:val="0CCE473F"/>
    <w:rsid w:val="0E282208"/>
    <w:rsid w:val="0FA46AD3"/>
    <w:rsid w:val="10074004"/>
    <w:rsid w:val="10503015"/>
    <w:rsid w:val="11B80839"/>
    <w:rsid w:val="11D86BA6"/>
    <w:rsid w:val="15C00F2D"/>
    <w:rsid w:val="15EC4D22"/>
    <w:rsid w:val="176C3651"/>
    <w:rsid w:val="195208D3"/>
    <w:rsid w:val="1BAC3F68"/>
    <w:rsid w:val="1C4976C8"/>
    <w:rsid w:val="1C6D37AE"/>
    <w:rsid w:val="1CFA20F0"/>
    <w:rsid w:val="1CFF79B4"/>
    <w:rsid w:val="1FCE2816"/>
    <w:rsid w:val="20F546AD"/>
    <w:rsid w:val="23802604"/>
    <w:rsid w:val="25221A1D"/>
    <w:rsid w:val="276709BB"/>
    <w:rsid w:val="28786901"/>
    <w:rsid w:val="294115BF"/>
    <w:rsid w:val="29CE0408"/>
    <w:rsid w:val="2AD517F1"/>
    <w:rsid w:val="2CA065D3"/>
    <w:rsid w:val="2E3A14D9"/>
    <w:rsid w:val="31D05F99"/>
    <w:rsid w:val="335F0A77"/>
    <w:rsid w:val="34B9535A"/>
    <w:rsid w:val="34D37445"/>
    <w:rsid w:val="35715C42"/>
    <w:rsid w:val="362F4FF0"/>
    <w:rsid w:val="398B2B28"/>
    <w:rsid w:val="3B7D4F75"/>
    <w:rsid w:val="3B7E4F37"/>
    <w:rsid w:val="3BB743D6"/>
    <w:rsid w:val="40B11EA6"/>
    <w:rsid w:val="4236627E"/>
    <w:rsid w:val="424342E6"/>
    <w:rsid w:val="430F3E39"/>
    <w:rsid w:val="45684BA8"/>
    <w:rsid w:val="48045BB0"/>
    <w:rsid w:val="498B355B"/>
    <w:rsid w:val="4EF876DB"/>
    <w:rsid w:val="4FFC0FBF"/>
    <w:rsid w:val="506B5B35"/>
    <w:rsid w:val="5072236A"/>
    <w:rsid w:val="50A136EB"/>
    <w:rsid w:val="50DD31AF"/>
    <w:rsid w:val="519E469A"/>
    <w:rsid w:val="53327A3D"/>
    <w:rsid w:val="5475138E"/>
    <w:rsid w:val="54841277"/>
    <w:rsid w:val="54A4015D"/>
    <w:rsid w:val="54B8614F"/>
    <w:rsid w:val="55755B15"/>
    <w:rsid w:val="55E153D2"/>
    <w:rsid w:val="565E7AE1"/>
    <w:rsid w:val="566B44F9"/>
    <w:rsid w:val="56916221"/>
    <w:rsid w:val="580B65CA"/>
    <w:rsid w:val="5EE547AA"/>
    <w:rsid w:val="5F684ED5"/>
    <w:rsid w:val="633C2F47"/>
    <w:rsid w:val="643248A8"/>
    <w:rsid w:val="65ED6B48"/>
    <w:rsid w:val="663743F7"/>
    <w:rsid w:val="664B6D3C"/>
    <w:rsid w:val="685B7DD7"/>
    <w:rsid w:val="68D0468F"/>
    <w:rsid w:val="68FC4C06"/>
    <w:rsid w:val="695A3ACD"/>
    <w:rsid w:val="6A4B2935"/>
    <w:rsid w:val="6B1C7B48"/>
    <w:rsid w:val="6B290338"/>
    <w:rsid w:val="6BE7316F"/>
    <w:rsid w:val="6DFD55D2"/>
    <w:rsid w:val="704A0FEB"/>
    <w:rsid w:val="75AF014F"/>
    <w:rsid w:val="761D16B8"/>
    <w:rsid w:val="76831F74"/>
    <w:rsid w:val="778C4CFC"/>
    <w:rsid w:val="792A58FA"/>
    <w:rsid w:val="79D77D4B"/>
    <w:rsid w:val="7BA169B4"/>
    <w:rsid w:val="7C1C1B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Times New Roman" w:cs="Times New Roman"/>
      <w:color w:val="000000"/>
      <w:sz w:val="24"/>
      <w:lang w:val="en-US" w:eastAsia="zh-CN" w:bidi="ar-SA"/>
    </w:rPr>
  </w:style>
  <w:style w:type="paragraph" w:styleId="6">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18">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rPr>
      <w:rFonts w:eastAsia="宋体"/>
    </w:rPr>
  </w:style>
  <w:style w:type="paragraph" w:styleId="3">
    <w:name w:val="Body Text Indent"/>
    <w:basedOn w:val="1"/>
    <w:next w:val="4"/>
    <w:autoRedefine/>
    <w:qFormat/>
    <w:uiPriority w:val="0"/>
    <w:pPr>
      <w:ind w:firstLine="540"/>
    </w:pPr>
    <w:rPr>
      <w:rFonts w:eastAsia="仿宋_GB2312"/>
      <w:sz w:val="28"/>
    </w:rPr>
  </w:style>
  <w:style w:type="paragraph" w:styleId="4">
    <w:name w:val="envelope return"/>
    <w:basedOn w:val="1"/>
    <w:next w:val="5"/>
    <w:qFormat/>
    <w:uiPriority w:val="0"/>
    <w:pPr>
      <w:snapToGrid w:val="0"/>
    </w:pPr>
    <w:rPr>
      <w:rFonts w:ascii="Arial" w:hAnsi="Arial" w:eastAsia="宋体"/>
    </w:rPr>
  </w:style>
  <w:style w:type="paragraph" w:styleId="5">
    <w:name w:val="Title"/>
    <w:basedOn w:val="1"/>
    <w:next w:val="1"/>
    <w:qFormat/>
    <w:uiPriority w:val="0"/>
    <w:pPr>
      <w:tabs>
        <w:tab w:val="left" w:pos="450"/>
      </w:tabs>
      <w:ind w:left="450" w:hanging="450"/>
      <w:jc w:val="center"/>
    </w:pPr>
    <w:rPr>
      <w:rFonts w:ascii="黑体" w:eastAsia="黑体"/>
      <w:sz w:val="32"/>
    </w:rPr>
  </w:style>
  <w:style w:type="paragraph" w:styleId="7">
    <w:name w:val="annotation text"/>
    <w:basedOn w:val="1"/>
    <w:link w:val="30"/>
    <w:unhideWhenUsed/>
    <w:qFormat/>
    <w:uiPriority w:val="0"/>
    <w:pPr>
      <w:jc w:val="left"/>
    </w:pPr>
    <w:rPr>
      <w:rFonts w:eastAsia="宋体"/>
      <w:color w:val="auto"/>
      <w:kern w:val="2"/>
      <w:sz w:val="21"/>
      <w:szCs w:val="24"/>
    </w:rPr>
  </w:style>
  <w:style w:type="paragraph" w:styleId="8">
    <w:name w:val="Body Text"/>
    <w:basedOn w:val="1"/>
    <w:qFormat/>
    <w:uiPriority w:val="0"/>
    <w:pPr>
      <w:spacing w:after="120"/>
    </w:pPr>
  </w:style>
  <w:style w:type="paragraph" w:styleId="9">
    <w:name w:val="Plain Text"/>
    <w:basedOn w:val="1"/>
    <w:qFormat/>
    <w:uiPriority w:val="0"/>
    <w:rPr>
      <w:rFonts w:ascii="宋体" w:hAnsi="Courier New"/>
    </w:rPr>
  </w:style>
  <w:style w:type="paragraph" w:styleId="10">
    <w:name w:val="Date"/>
    <w:basedOn w:val="1"/>
    <w:next w:val="1"/>
    <w:qFormat/>
    <w:uiPriority w:val="0"/>
    <w:rPr>
      <w:rFonts w:ascii="Arial" w:hAnsi="Arial" w:eastAsia="楷体_GB2312"/>
      <w:sz w:val="28"/>
    </w:rPr>
  </w:style>
  <w:style w:type="paragraph" w:styleId="11">
    <w:name w:val="Balloon Text"/>
    <w:basedOn w:val="1"/>
    <w:link w:val="28"/>
    <w:qFormat/>
    <w:uiPriority w:val="0"/>
    <w:rPr>
      <w:sz w:val="18"/>
      <w:szCs w:val="18"/>
    </w:rPr>
  </w:style>
  <w:style w:type="paragraph" w:styleId="12">
    <w:name w:val="footer"/>
    <w:basedOn w:val="1"/>
    <w:link w:val="27"/>
    <w:qFormat/>
    <w:uiPriority w:val="0"/>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Body Text Indent 3"/>
    <w:basedOn w:val="1"/>
    <w:qFormat/>
    <w:uiPriority w:val="0"/>
    <w:pPr>
      <w:ind w:left="178" w:leftChars="85" w:firstLine="560" w:firstLineChars="200"/>
    </w:pPr>
    <w:rPr>
      <w:rFonts w:ascii="仿宋_GB2312" w:hAnsi="Arial" w:eastAsia="仿宋_GB2312"/>
      <w:sz w:val="28"/>
      <w:szCs w:val="24"/>
    </w:rPr>
  </w:style>
  <w:style w:type="paragraph" w:styleId="15">
    <w:name w:val="index 1"/>
    <w:basedOn w:val="1"/>
    <w:next w:val="1"/>
    <w:autoRedefine/>
    <w:semiHidden/>
    <w:qFormat/>
    <w:uiPriority w:val="0"/>
    <w:pPr>
      <w:spacing w:line="360" w:lineRule="auto"/>
      <w:jc w:val="center"/>
    </w:pPr>
    <w:rPr>
      <w:rFonts w:ascii="宋体" w:hAnsi="宋体"/>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FollowedHyperlink"/>
    <w:qFormat/>
    <w:uiPriority w:val="0"/>
    <w:rPr>
      <w:color w:val="800080"/>
      <w:u w:val="single"/>
    </w:rPr>
  </w:style>
  <w:style w:type="paragraph" w:customStyle="1" w:styleId="21">
    <w:name w:val="正文首行缩进 21"/>
    <w:basedOn w:val="22"/>
    <w:next w:val="1"/>
    <w:qFormat/>
    <w:uiPriority w:val="0"/>
    <w:pPr>
      <w:ind w:firstLine="420" w:firstLineChars="200"/>
    </w:pPr>
  </w:style>
  <w:style w:type="paragraph" w:customStyle="1" w:styleId="22">
    <w:name w:val="Body Text Indent1"/>
    <w:basedOn w:val="1"/>
    <w:qFormat/>
    <w:uiPriority w:val="0"/>
    <w:pPr>
      <w:ind w:left="420" w:leftChars="200"/>
    </w:pPr>
  </w:style>
  <w:style w:type="paragraph" w:customStyle="1" w:styleId="23">
    <w:name w:val="首行缩进"/>
    <w:basedOn w:val="1"/>
    <w:qFormat/>
    <w:uiPriority w:val="0"/>
    <w:pPr>
      <w:spacing w:line="360" w:lineRule="auto"/>
      <w:ind w:firstLine="480" w:firstLineChars="200"/>
    </w:pPr>
    <w:rPr>
      <w:szCs w:val="22"/>
      <w:lang w:val="zh-CN"/>
    </w:rPr>
  </w:style>
  <w:style w:type="paragraph" w:customStyle="1" w:styleId="24">
    <w:name w:val="正文（缩进）"/>
    <w:basedOn w:val="1"/>
    <w:qFormat/>
    <w:uiPriority w:val="0"/>
    <w:pPr>
      <w:widowControl/>
      <w:spacing w:before="156" w:after="156"/>
      <w:ind w:firstLine="480" w:firstLineChars="200"/>
      <w:jc w:val="left"/>
    </w:pPr>
    <w:rPr>
      <w:rFonts w:ascii="仿宋_GB2312" w:eastAsia="仿宋_GB2312"/>
      <w:szCs w:val="24"/>
    </w:rPr>
  </w:style>
  <w:style w:type="paragraph" w:customStyle="1" w:styleId="25">
    <w:name w:val="Char"/>
    <w:basedOn w:val="1"/>
    <w:qFormat/>
    <w:uiPriority w:val="0"/>
    <w:rPr>
      <w:rFonts w:ascii="Tahoma" w:hAnsi="Tahoma"/>
    </w:rPr>
  </w:style>
  <w:style w:type="paragraph" w:customStyle="1" w:styleId="26">
    <w:name w:val="D&amp;L"/>
    <w:basedOn w:val="13"/>
    <w:qFormat/>
    <w:uiPriority w:val="0"/>
    <w:pPr>
      <w:pBdr>
        <w:bottom w:val="thinThickSmallGap" w:color="auto" w:sz="18" w:space="1"/>
      </w:pBdr>
      <w:adjustRightInd w:val="0"/>
      <w:snapToGrid/>
      <w:spacing w:line="240" w:lineRule="atLeast"/>
      <w:textAlignment w:val="baseline"/>
    </w:pPr>
    <w:rPr>
      <w:sz w:val="24"/>
    </w:rPr>
  </w:style>
  <w:style w:type="character" w:customStyle="1" w:styleId="27">
    <w:name w:val="页脚 Char"/>
    <w:basedOn w:val="18"/>
    <w:link w:val="12"/>
    <w:qFormat/>
    <w:uiPriority w:val="0"/>
    <w:rPr>
      <w:rFonts w:eastAsia="Times New Roman"/>
      <w:color w:val="000000"/>
      <w:sz w:val="18"/>
      <w:szCs w:val="18"/>
    </w:rPr>
  </w:style>
  <w:style w:type="character" w:customStyle="1" w:styleId="28">
    <w:name w:val="批注框文本 Char"/>
    <w:basedOn w:val="18"/>
    <w:link w:val="11"/>
    <w:qFormat/>
    <w:uiPriority w:val="0"/>
    <w:rPr>
      <w:rFonts w:eastAsia="Times New Roman"/>
      <w:color w:val="000000"/>
      <w:sz w:val="18"/>
      <w:szCs w:val="18"/>
    </w:rPr>
  </w:style>
  <w:style w:type="paragraph" w:styleId="29">
    <w:name w:val="List Paragraph"/>
    <w:basedOn w:val="1"/>
    <w:unhideWhenUsed/>
    <w:qFormat/>
    <w:uiPriority w:val="99"/>
    <w:pPr>
      <w:ind w:firstLine="420" w:firstLineChars="200"/>
    </w:pPr>
  </w:style>
  <w:style w:type="character" w:customStyle="1" w:styleId="30">
    <w:name w:val="批注文字 Char"/>
    <w:basedOn w:val="18"/>
    <w:link w:val="7"/>
    <w:qFormat/>
    <w:uiPriority w:val="0"/>
    <w:rPr>
      <w:kern w:val="2"/>
      <w:sz w:val="21"/>
      <w:szCs w:val="24"/>
    </w:rPr>
  </w:style>
  <w:style w:type="character" w:customStyle="1" w:styleId="31">
    <w:name w:val="font31"/>
    <w:basedOn w:val="18"/>
    <w:qFormat/>
    <w:uiPriority w:val="0"/>
    <w:rPr>
      <w:rFonts w:hint="eastAsia" w:ascii="宋体" w:hAnsi="宋体" w:eastAsia="宋体" w:cs="宋体"/>
      <w:color w:val="000000"/>
      <w:sz w:val="20"/>
      <w:szCs w:val="20"/>
      <w:u w:val="none"/>
      <w:vertAlign w:val="superscript"/>
    </w:rPr>
  </w:style>
  <w:style w:type="paragraph" w:customStyle="1" w:styleId="32">
    <w:name w:val="标题 11"/>
    <w:basedOn w:val="1"/>
    <w:qFormat/>
    <w:uiPriority w:val="0"/>
    <w:pPr>
      <w:keepNext/>
      <w:keepLines/>
      <w:spacing w:line="360" w:lineRule="auto"/>
      <w:outlineLvl w:val="0"/>
    </w:pPr>
    <w:rPr>
      <w:b/>
      <w:bCs/>
      <w:kern w:val="44"/>
      <w:sz w:val="44"/>
      <w:szCs w:val="44"/>
    </w:rPr>
  </w:style>
  <w:style w:type="paragraph" w:customStyle="1" w:styleId="33">
    <w:name w:val="正文文本缩进1"/>
    <w:basedOn w:val="1"/>
    <w:qFormat/>
    <w:uiPriority w:val="0"/>
    <w:pPr>
      <w:ind w:firstLine="540"/>
    </w:pPr>
    <w:rPr>
      <w:rFonts w:eastAsia="仿宋_GB2312"/>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FDA1948-046F-44D6-B89A-CCE87020FCC8}">
  <ds:schemaRefs/>
</ds:datastoreItem>
</file>

<file path=docProps/app.xml><?xml version="1.0" encoding="utf-8"?>
<Properties xmlns="http://schemas.openxmlformats.org/officeDocument/2006/extended-properties" xmlns:vt="http://schemas.openxmlformats.org/officeDocument/2006/docPropsVTypes">
  <Template>Normal</Template>
  <Pages>14</Pages>
  <Words>1037</Words>
  <Characters>5913</Characters>
  <Lines>49</Lines>
  <Paragraphs>13</Paragraphs>
  <TotalTime>7</TotalTime>
  <ScaleCrop>false</ScaleCrop>
  <LinksUpToDate>false</LinksUpToDate>
  <CharactersWithSpaces>6937</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2024-04-18T07:23:00Z</dcterms:created>
  <dc:creator>J.</dc:creator>
  <cp:lastModifiedBy>正清和</cp:lastModifiedBy>
  <cp:lastPrinted>2024-03-04T07:29:00Z</cp:lastPrinted>
  <dcterms:modified xsi:type="dcterms:W3CDTF">2024-04-18T07:41:50Z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7A121243CC1A42C0A9F300D5E632E466_13</vt:lpwstr>
  </property>
</Properties>
</file>